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25" w:rsidRDefault="00F1140B" w:rsidP="0076146B">
      <w:pPr>
        <w:pStyle w:val="a7"/>
        <w:spacing w:before="100" w:beforeAutospacing="1" w:after="100" w:afterAutospacing="1" w:line="240" w:lineRule="auto"/>
        <w:ind w:left="0" w:firstLine="0"/>
        <w:jc w:val="center"/>
        <w:rPr>
          <w:szCs w:val="32"/>
        </w:rPr>
      </w:pPr>
      <w:r>
        <w:rPr>
          <w:rFonts w:hint="eastAsia"/>
          <w:szCs w:val="32"/>
        </w:rPr>
        <w:t>國立高雄餐旅大學</w:t>
      </w:r>
      <w:r w:rsidR="00A0005A">
        <w:t>校務基金教學研究工作人員進用管理</w:t>
      </w:r>
      <w:r w:rsidR="00651925" w:rsidRPr="00651925">
        <w:rPr>
          <w:rFonts w:hint="eastAsia"/>
          <w:szCs w:val="32"/>
        </w:rPr>
        <w:t>辦法</w:t>
      </w:r>
    </w:p>
    <w:p w:rsidR="0076146B" w:rsidRDefault="0011200D" w:rsidP="0076146B">
      <w:pPr>
        <w:pStyle w:val="a7"/>
        <w:spacing w:before="100" w:beforeAutospacing="1" w:after="100" w:afterAutospacing="1" w:line="240" w:lineRule="auto"/>
        <w:ind w:left="0" w:firstLine="0"/>
        <w:jc w:val="center"/>
        <w:rPr>
          <w:szCs w:val="32"/>
        </w:rPr>
      </w:pPr>
      <w:r>
        <w:rPr>
          <w:rFonts w:hint="eastAsia"/>
          <w:szCs w:val="32"/>
        </w:rPr>
        <w:t>第</w:t>
      </w:r>
      <w:r w:rsidR="00A0005A">
        <w:rPr>
          <w:rFonts w:hint="eastAsia"/>
          <w:szCs w:val="32"/>
        </w:rPr>
        <w:t>十五</w:t>
      </w:r>
      <w:r w:rsidR="00651925">
        <w:rPr>
          <w:rFonts w:hint="eastAsia"/>
          <w:szCs w:val="32"/>
        </w:rPr>
        <w:t>條</w:t>
      </w:r>
      <w:r w:rsidR="00B73033">
        <w:rPr>
          <w:rFonts w:hint="eastAsia"/>
          <w:szCs w:val="32"/>
        </w:rPr>
        <w:t>條文</w:t>
      </w:r>
      <w:r w:rsidR="0076146B">
        <w:rPr>
          <w:rFonts w:hint="eastAsia"/>
          <w:szCs w:val="32"/>
        </w:rPr>
        <w:t>修正草案</w:t>
      </w:r>
      <w:r w:rsidR="00B62B27">
        <w:rPr>
          <w:rFonts w:hint="eastAsia"/>
          <w:szCs w:val="32"/>
        </w:rPr>
        <w:t>調查表</w:t>
      </w:r>
    </w:p>
    <w:p w:rsidR="00F51496" w:rsidRPr="00F51496" w:rsidRDefault="00F51496" w:rsidP="00F51496">
      <w:pPr>
        <w:rPr>
          <w:rFonts w:ascii="標楷體" w:eastAsia="標楷體" w:hAnsi="標楷體"/>
          <w:b/>
          <w:sz w:val="28"/>
          <w:szCs w:val="28"/>
        </w:rPr>
      </w:pPr>
      <w:r w:rsidRPr="00F51496">
        <w:rPr>
          <w:rFonts w:ascii="標楷體" w:eastAsia="標楷體" w:hAnsi="標楷體"/>
          <w:b/>
          <w:sz w:val="28"/>
          <w:szCs w:val="28"/>
        </w:rPr>
        <w:t>單位名稱：</w:t>
      </w:r>
    </w:p>
    <w:p w:rsidR="00F51496" w:rsidRPr="00F51496" w:rsidRDefault="00F51496" w:rsidP="00F51496">
      <w:r w:rsidRPr="00F51496">
        <w:rPr>
          <w:rFonts w:ascii="標楷體" w:eastAsia="標楷體" w:hAnsi="標楷體"/>
          <w:b/>
          <w:sz w:val="28"/>
          <w:szCs w:val="28"/>
        </w:rPr>
        <w:t>單位主管簽名或蓋章：</w:t>
      </w:r>
    </w:p>
    <w:tbl>
      <w:tblPr>
        <w:tblStyle w:val="a8"/>
        <w:tblW w:w="10059" w:type="dxa"/>
        <w:tblInd w:w="-431" w:type="dxa"/>
        <w:tblLook w:val="04A0" w:firstRow="1" w:lastRow="0" w:firstColumn="1" w:lastColumn="0" w:noHBand="0" w:noVBand="1"/>
      </w:tblPr>
      <w:tblGrid>
        <w:gridCol w:w="3397"/>
        <w:gridCol w:w="3402"/>
        <w:gridCol w:w="3260"/>
      </w:tblGrid>
      <w:tr w:rsidR="00A0005A" w:rsidTr="00A36C33">
        <w:trPr>
          <w:trHeight w:val="425"/>
        </w:trPr>
        <w:tc>
          <w:tcPr>
            <w:tcW w:w="3397" w:type="dxa"/>
            <w:vAlign w:val="center"/>
          </w:tcPr>
          <w:p w:rsidR="00A0005A" w:rsidRPr="00FC57E3" w:rsidRDefault="00A0005A">
            <w:pPr>
              <w:rPr>
                <w:rFonts w:ascii="標楷體" w:eastAsia="標楷體" w:hAnsi="標楷體" w:hint="eastAsia"/>
              </w:rPr>
            </w:pPr>
            <w:r w:rsidRPr="002D38FE">
              <w:rPr>
                <w:rFonts w:ascii="標楷體" w:eastAsia="標楷體" w:hAnsi="標楷體" w:hint="eastAsia"/>
                <w:color w:val="FF0000"/>
                <w:highlight w:val="yellow"/>
              </w:rPr>
              <w:t>修正條文</w:t>
            </w:r>
          </w:p>
        </w:tc>
        <w:tc>
          <w:tcPr>
            <w:tcW w:w="3402" w:type="dxa"/>
            <w:vAlign w:val="center"/>
          </w:tcPr>
          <w:p w:rsidR="00A0005A" w:rsidRPr="00FC57E3" w:rsidRDefault="00A0005A">
            <w:pPr>
              <w:rPr>
                <w:rFonts w:ascii="標楷體" w:eastAsia="標楷體" w:hAnsi="標楷體"/>
              </w:rPr>
            </w:pPr>
            <w:r w:rsidRPr="00FC57E3">
              <w:rPr>
                <w:rFonts w:ascii="標楷體" w:eastAsia="標楷體" w:hAnsi="標楷體" w:hint="eastAsia"/>
              </w:rPr>
              <w:t>現行條文</w:t>
            </w:r>
          </w:p>
        </w:tc>
        <w:tc>
          <w:tcPr>
            <w:tcW w:w="3260" w:type="dxa"/>
            <w:vAlign w:val="center"/>
          </w:tcPr>
          <w:p w:rsidR="00A0005A" w:rsidRPr="00FC57E3" w:rsidRDefault="00A0005A">
            <w:pPr>
              <w:rPr>
                <w:rFonts w:ascii="標楷體" w:eastAsia="標楷體" w:hAnsi="標楷體"/>
              </w:rPr>
            </w:pPr>
            <w:r w:rsidRPr="00FC57E3">
              <w:rPr>
                <w:rFonts w:ascii="標楷體" w:eastAsia="標楷體" w:hAnsi="標楷體" w:hint="eastAsia"/>
              </w:rPr>
              <w:t>修正說明</w:t>
            </w:r>
          </w:p>
        </w:tc>
      </w:tr>
      <w:tr w:rsidR="00A0005A" w:rsidTr="00A36C33">
        <w:tc>
          <w:tcPr>
            <w:tcW w:w="3397" w:type="dxa"/>
          </w:tcPr>
          <w:p w:rsidR="00A0005A" w:rsidRPr="00A0005A" w:rsidRDefault="00A0005A" w:rsidP="00A0005A">
            <w:pPr>
              <w:autoSpaceDE w:val="0"/>
              <w:autoSpaceDN w:val="0"/>
              <w:adjustRightInd w:val="0"/>
              <w:rPr>
                <w:rFonts w:ascii="標楷體" w:eastAsia="標楷體" w:hAnsi="標楷體" w:cs="新細明體" w:hint="eastAsia"/>
                <w:kern w:val="0"/>
                <w:szCs w:val="24"/>
              </w:rPr>
            </w:pPr>
            <w:r w:rsidRPr="00A0005A">
              <w:rPr>
                <w:rFonts w:ascii="標楷體" w:eastAsia="標楷體" w:hAnsi="標楷體" w:cs="新細明體" w:hint="eastAsia"/>
                <w:kern w:val="0"/>
                <w:szCs w:val="24"/>
              </w:rPr>
              <w:t>第十五條</w:t>
            </w:r>
          </w:p>
          <w:p w:rsidR="00A0005A" w:rsidRPr="00A0005A" w:rsidRDefault="00A0005A" w:rsidP="00A0005A">
            <w:pPr>
              <w:autoSpaceDE w:val="0"/>
              <w:autoSpaceDN w:val="0"/>
              <w:adjustRightInd w:val="0"/>
              <w:rPr>
                <w:rFonts w:ascii="標楷體" w:eastAsia="標楷體" w:hAnsi="標楷體" w:cs="新細明體" w:hint="eastAsia"/>
                <w:color w:val="FF0000"/>
                <w:kern w:val="0"/>
                <w:szCs w:val="24"/>
              </w:rPr>
            </w:pPr>
            <w:r w:rsidRPr="00A0005A">
              <w:rPr>
                <w:rFonts w:ascii="標楷體" w:eastAsia="標楷體" w:hAnsi="標楷體" w:cs="新細明體" w:hint="eastAsia"/>
                <w:kern w:val="0"/>
                <w:szCs w:val="24"/>
              </w:rPr>
              <w:t>校務基金進用教學人員之約用資格條件，依教育人員任用條例或大學聘任專業技術人員擔任教學辦法之規定。</w:t>
            </w:r>
            <w:r w:rsidR="00424BB1">
              <w:rPr>
                <w:rFonts w:ascii="標楷體" w:eastAsia="標楷體" w:hAnsi="標楷體" w:cs="新細明體" w:hint="eastAsia"/>
                <w:kern w:val="0"/>
                <w:szCs w:val="24"/>
              </w:rPr>
              <w:t>但</w:t>
            </w:r>
            <w:r w:rsidR="00424BB1" w:rsidRPr="00424BB1">
              <w:rPr>
                <w:rFonts w:ascii="標楷體" w:eastAsia="標楷體" w:hAnsi="標楷體" w:cs="新細明體"/>
                <w:kern w:val="0"/>
                <w:szCs w:val="24"/>
              </w:rPr>
              <w:t>約用年齡</w:t>
            </w:r>
            <w:r w:rsidRPr="00424BB1">
              <w:rPr>
                <w:rFonts w:ascii="標楷體" w:eastAsia="標楷體" w:hAnsi="標楷體" w:hint="eastAsia"/>
                <w:color w:val="FF0000"/>
                <w:u w:val="single"/>
              </w:rPr>
              <w:t>以未屆專任教育人員應即退休年齡（現為65</w:t>
            </w:r>
            <w:r w:rsidR="00424BB1" w:rsidRPr="00424BB1">
              <w:rPr>
                <w:rFonts w:ascii="標楷體" w:eastAsia="標楷體" w:hAnsi="標楷體" w:hint="eastAsia"/>
                <w:color w:val="FF0000"/>
                <w:u w:val="single"/>
              </w:rPr>
              <w:t>歲）為原則，</w:t>
            </w:r>
            <w:r w:rsidRPr="00424BB1">
              <w:rPr>
                <w:rFonts w:ascii="標楷體" w:eastAsia="標楷體" w:hAnsi="標楷體" w:hint="eastAsia"/>
                <w:color w:val="FF0000"/>
                <w:u w:val="single"/>
              </w:rPr>
              <w:t>各學術單位因教學需要，</w:t>
            </w:r>
            <w:r w:rsidR="00424BB1" w:rsidRPr="00424BB1">
              <w:rPr>
                <w:rFonts w:ascii="標楷體" w:eastAsia="標楷體" w:hAnsi="標楷體" w:hint="eastAsia"/>
                <w:color w:val="FF0000"/>
                <w:u w:val="single"/>
              </w:rPr>
              <w:t>得</w:t>
            </w:r>
            <w:r w:rsidRPr="00424BB1">
              <w:rPr>
                <w:rFonts w:ascii="標楷體" w:eastAsia="標楷體" w:hAnsi="標楷體" w:hint="eastAsia"/>
                <w:color w:val="FF0000"/>
                <w:u w:val="single"/>
              </w:rPr>
              <w:t>經教評會推薦教授、副教授職級且具下列條件之一者，</w:t>
            </w:r>
            <w:r w:rsidRPr="00483CE4">
              <w:rPr>
                <w:rFonts w:ascii="標楷體" w:eastAsia="標楷體" w:hAnsi="標楷體" w:hint="eastAsia"/>
                <w:color w:val="FF0000"/>
                <w:u w:val="single"/>
              </w:rPr>
              <w:t>不受已屆應即退休年齡不得任用之限制。</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（一）擔任中央研究院院士。</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（二）曾擔任國家講座主持人或國內外大學講座主持人。</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（三）曾獲國家產學大師獎。</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（四）曾獲教育部學術獎、全國傑出通識教育教師獎或師鐸獎。</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（五）曾獲科技部傑出研究獎勵二次以上。</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（六）自聘期屆滿之日前五年內，有一本以上個人著作出版或於國內外著名學術性刊物公開發表與所授課程相關之重要學術論文三篇以上，對學術確有貢獻。</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（七）教授藝能科目自屆齡當月或每次延長服務屆滿之日前五年內，有創作、展演、技術指導三次以上，著有國際聲</w:t>
            </w:r>
            <w:r w:rsidRPr="00424BB1">
              <w:rPr>
                <w:rFonts w:ascii="標楷體" w:eastAsia="標楷體" w:hAnsi="標楷體" w:cs="新細明體" w:hint="eastAsia"/>
                <w:color w:val="FF0000"/>
                <w:kern w:val="0"/>
                <w:szCs w:val="24"/>
                <w:u w:val="single"/>
              </w:rPr>
              <w:lastRenderedPageBreak/>
              <w:t>望。</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（八）所擔任課程接替人選經認定屬一時難以羅致。</w:t>
            </w:r>
          </w:p>
          <w:p w:rsidR="00A0005A" w:rsidRPr="00424BB1" w:rsidRDefault="00A0005A" w:rsidP="00A0005A">
            <w:pPr>
              <w:autoSpaceDE w:val="0"/>
              <w:autoSpaceDN w:val="0"/>
              <w:adjustRightInd w:val="0"/>
              <w:rPr>
                <w:rFonts w:ascii="標楷體" w:eastAsia="標楷體" w:hAnsi="標楷體" w:cs="新細明體" w:hint="eastAsia"/>
                <w:color w:val="FF0000"/>
                <w:kern w:val="0"/>
                <w:szCs w:val="24"/>
                <w:u w:val="single"/>
              </w:rPr>
            </w:pPr>
            <w:r w:rsidRPr="00424BB1">
              <w:rPr>
                <w:rFonts w:ascii="標楷體" w:eastAsia="標楷體" w:hAnsi="標楷體" w:cs="新細明體" w:hint="eastAsia"/>
                <w:color w:val="FF0000"/>
                <w:kern w:val="0"/>
                <w:szCs w:val="24"/>
                <w:u w:val="single"/>
              </w:rPr>
              <w:t>（九）辦理產學合作成績優良，對學術及產業界著有具體貢獻。</w:t>
            </w:r>
          </w:p>
          <w:p w:rsidR="00A0005A" w:rsidRPr="00424BB1" w:rsidRDefault="00A0005A" w:rsidP="00A0005A">
            <w:pPr>
              <w:autoSpaceDE w:val="0"/>
              <w:autoSpaceDN w:val="0"/>
              <w:adjustRightInd w:val="0"/>
              <w:rPr>
                <w:rFonts w:ascii="標楷體" w:eastAsia="標楷體" w:hAnsi="標楷體" w:cs="新細明體"/>
                <w:color w:val="FF0000"/>
                <w:kern w:val="0"/>
                <w:szCs w:val="24"/>
                <w:u w:val="single"/>
              </w:rPr>
            </w:pPr>
          </w:p>
          <w:p w:rsidR="00A0005A" w:rsidRPr="00424BB1" w:rsidRDefault="00A0005A" w:rsidP="00A0005A">
            <w:pPr>
              <w:autoSpaceDE w:val="0"/>
              <w:autoSpaceDN w:val="0"/>
              <w:adjustRightInd w:val="0"/>
              <w:rPr>
                <w:rFonts w:ascii="標楷體" w:eastAsia="標楷體" w:hAnsi="標楷體" w:cs="新細明體"/>
                <w:color w:val="FF0000"/>
                <w:kern w:val="0"/>
                <w:szCs w:val="24"/>
                <w:u w:val="single"/>
              </w:rPr>
            </w:pPr>
            <w:r w:rsidRPr="00424BB1">
              <w:rPr>
                <w:rFonts w:ascii="標楷體" w:eastAsia="標楷體" w:hAnsi="標楷體" w:cs="新細明體" w:hint="eastAsia"/>
                <w:color w:val="FF0000"/>
                <w:kern w:val="0"/>
                <w:szCs w:val="24"/>
                <w:u w:val="single"/>
              </w:rPr>
              <w:t>各學術單位得配合校務發展，自行訂定較前項各款更嚴格之條件。</w:t>
            </w:r>
          </w:p>
          <w:p w:rsidR="00A0005A" w:rsidRPr="00A0005A" w:rsidRDefault="00A0005A" w:rsidP="00A0005A">
            <w:pPr>
              <w:autoSpaceDE w:val="0"/>
              <w:autoSpaceDN w:val="0"/>
              <w:adjustRightInd w:val="0"/>
              <w:rPr>
                <w:rFonts w:ascii="標楷體" w:eastAsia="標楷體" w:hAnsi="標楷體" w:cs="新細明體" w:hint="eastAsia"/>
                <w:color w:val="FF0000"/>
                <w:kern w:val="0"/>
                <w:szCs w:val="24"/>
              </w:rPr>
            </w:pPr>
          </w:p>
          <w:p w:rsidR="00A0005A" w:rsidRPr="00D33616" w:rsidRDefault="00A0005A" w:rsidP="00A0005A">
            <w:pPr>
              <w:autoSpaceDE w:val="0"/>
              <w:autoSpaceDN w:val="0"/>
              <w:adjustRightInd w:val="0"/>
              <w:rPr>
                <w:rFonts w:ascii="標楷體" w:eastAsia="標楷體" w:hAnsi="標楷體" w:cs="新細明體"/>
                <w:kern w:val="0"/>
                <w:szCs w:val="24"/>
              </w:rPr>
            </w:pPr>
            <w:r w:rsidRPr="00A0005A">
              <w:rPr>
                <w:rFonts w:ascii="標楷體" w:eastAsia="標楷體" w:hAnsi="標楷體" w:cs="新細明體" w:hint="eastAsia"/>
                <w:kern w:val="0"/>
                <w:szCs w:val="24"/>
              </w:rPr>
              <w:t>校務基金進用教學人員之聘期，每次最長不得超過二年。聘期超過一年以上者，應比照專任教師辦理評鑑作為續聘與否之參據</w:t>
            </w:r>
            <w:r w:rsidRPr="00A0005A">
              <w:rPr>
                <w:rFonts w:ascii="標楷體" w:eastAsia="標楷體" w:hAnsi="標楷體" w:cs="新細明體" w:hint="eastAsia"/>
                <w:color w:val="FF0000"/>
                <w:kern w:val="0"/>
                <w:szCs w:val="24"/>
              </w:rPr>
              <w:t>，聘期屆滿而獲續聘者，得繼續服務至屆滿七十歲之當學期終了止</w:t>
            </w:r>
            <w:r w:rsidRPr="00A0005A">
              <w:rPr>
                <w:rFonts w:ascii="標楷體" w:eastAsia="標楷體" w:hAnsi="標楷體" w:cs="新細明體" w:hint="eastAsia"/>
                <w:kern w:val="0"/>
                <w:szCs w:val="24"/>
              </w:rPr>
              <w:t>。</w:t>
            </w:r>
          </w:p>
          <w:p w:rsidR="00A0005A" w:rsidRPr="00D27348" w:rsidRDefault="00A0005A" w:rsidP="00651925">
            <w:pPr>
              <w:autoSpaceDE w:val="0"/>
              <w:autoSpaceDN w:val="0"/>
              <w:adjustRightInd w:val="0"/>
              <w:rPr>
                <w:rFonts w:ascii="標楷體" w:eastAsia="標楷體" w:hAnsi="標楷體" w:hint="eastAsia"/>
                <w:color w:val="000000" w:themeColor="text1"/>
              </w:rPr>
            </w:pPr>
          </w:p>
        </w:tc>
        <w:tc>
          <w:tcPr>
            <w:tcW w:w="3402" w:type="dxa"/>
          </w:tcPr>
          <w:p w:rsidR="00A0005A" w:rsidRPr="00A0005A" w:rsidRDefault="00A0005A" w:rsidP="00A1004D">
            <w:pPr>
              <w:autoSpaceDE w:val="0"/>
              <w:autoSpaceDN w:val="0"/>
              <w:adjustRightInd w:val="0"/>
              <w:rPr>
                <w:rFonts w:ascii="標楷體" w:eastAsia="標楷體" w:hAnsi="標楷體"/>
                <w:color w:val="000000" w:themeColor="text1"/>
              </w:rPr>
            </w:pPr>
            <w:r w:rsidRPr="00A0005A">
              <w:rPr>
                <w:rFonts w:ascii="標楷體" w:eastAsia="標楷體" w:hAnsi="標楷體"/>
                <w:color w:val="000000" w:themeColor="text1"/>
              </w:rPr>
              <w:lastRenderedPageBreak/>
              <w:t>第十五條</w:t>
            </w:r>
          </w:p>
          <w:p w:rsidR="00A0005A" w:rsidRPr="00A0005A" w:rsidRDefault="00A0005A" w:rsidP="00A0005A">
            <w:pPr>
              <w:autoSpaceDE w:val="0"/>
              <w:autoSpaceDN w:val="0"/>
              <w:adjustRightInd w:val="0"/>
              <w:rPr>
                <w:rFonts w:ascii="標楷體" w:eastAsia="標楷體" w:hAnsi="標楷體"/>
                <w:color w:val="000000" w:themeColor="text1"/>
              </w:rPr>
            </w:pPr>
            <w:r w:rsidRPr="00A0005A">
              <w:rPr>
                <w:rFonts w:ascii="標楷體" w:eastAsia="標楷體" w:hAnsi="標楷體"/>
                <w:color w:val="000000" w:themeColor="text1"/>
              </w:rPr>
              <w:t>校務基金進用教學人員之約用資格條件，依教育人員任用條例或大學聘任專業技術人員擔任教學辦法之規定。</w:t>
            </w:r>
            <w:r w:rsidRPr="00424BB1">
              <w:rPr>
                <w:rFonts w:ascii="標楷體" w:eastAsia="標楷體" w:hAnsi="標楷體"/>
                <w:color w:val="FF0000"/>
                <w:u w:val="single"/>
              </w:rPr>
              <w:t>但約用年齡不受已屆應即退休年齡不得任用</w:t>
            </w:r>
            <w:r w:rsidRPr="00483CE4">
              <w:rPr>
                <w:rFonts w:ascii="標楷體" w:eastAsia="標楷體" w:hAnsi="標楷體"/>
                <w:strike/>
                <w:color w:val="FF0000"/>
                <w:u w:val="single"/>
              </w:rPr>
              <w:t>為專任教育人員規定</w:t>
            </w:r>
            <w:r w:rsidRPr="00424BB1">
              <w:rPr>
                <w:rFonts w:ascii="標楷體" w:eastAsia="標楷體" w:hAnsi="標楷體"/>
                <w:color w:val="FF0000"/>
                <w:u w:val="single"/>
              </w:rPr>
              <w:t>之限 制。</w:t>
            </w:r>
          </w:p>
          <w:p w:rsidR="00A0005A" w:rsidRPr="00A0005A" w:rsidRDefault="00A0005A" w:rsidP="00A0005A">
            <w:pPr>
              <w:autoSpaceDE w:val="0"/>
              <w:autoSpaceDN w:val="0"/>
              <w:adjustRightInd w:val="0"/>
              <w:rPr>
                <w:rFonts w:ascii="標楷體" w:eastAsia="標楷體" w:hAnsi="標楷體"/>
                <w:color w:val="000000" w:themeColor="text1"/>
              </w:rPr>
            </w:pPr>
          </w:p>
          <w:p w:rsidR="00A0005A" w:rsidRPr="00D27348" w:rsidRDefault="00A0005A" w:rsidP="00A0005A">
            <w:pPr>
              <w:autoSpaceDE w:val="0"/>
              <w:autoSpaceDN w:val="0"/>
              <w:adjustRightInd w:val="0"/>
              <w:rPr>
                <w:rFonts w:ascii="標楷體" w:eastAsia="標楷體" w:hAnsi="標楷體"/>
                <w:color w:val="000000" w:themeColor="text1"/>
              </w:rPr>
            </w:pPr>
            <w:r w:rsidRPr="00A0005A">
              <w:rPr>
                <w:rFonts w:ascii="標楷體" w:eastAsia="標楷體" w:hAnsi="標楷體"/>
                <w:color w:val="000000" w:themeColor="text1"/>
              </w:rPr>
              <w:t>專案計畫教學人員之聘期，每次最長不得超過二年。聘期超過一年以上者，應比照專任 教師辦理評鑑作為續聘與否之參據</w:t>
            </w:r>
            <w:bookmarkStart w:id="0" w:name="_GoBack"/>
            <w:bookmarkEnd w:id="0"/>
          </w:p>
        </w:tc>
        <w:tc>
          <w:tcPr>
            <w:tcW w:w="3260" w:type="dxa"/>
          </w:tcPr>
          <w:p w:rsidR="00424BB1" w:rsidRDefault="00A0005A" w:rsidP="00A0005A">
            <w:pPr>
              <w:rPr>
                <w:rFonts w:ascii="標楷體" w:eastAsia="標楷體" w:hAnsi="標楷體"/>
                <w:color w:val="000000" w:themeColor="text1"/>
              </w:rPr>
            </w:pPr>
            <w:r w:rsidRPr="00A0005A">
              <w:rPr>
                <w:rFonts w:ascii="標楷體" w:eastAsia="標楷體" w:hAnsi="標楷體" w:hint="eastAsia"/>
                <w:color w:val="000000" w:themeColor="text1"/>
              </w:rPr>
              <w:t>參據107</w:t>
            </w:r>
            <w:r>
              <w:rPr>
                <w:rFonts w:ascii="標楷體" w:eastAsia="標楷體" w:hAnsi="標楷體" w:hint="eastAsia"/>
                <w:color w:val="000000" w:themeColor="text1"/>
              </w:rPr>
              <w:t>年5月15日公布之「</w:t>
            </w:r>
            <w:r w:rsidRPr="00A0005A">
              <w:rPr>
                <w:rFonts w:ascii="標楷體" w:eastAsia="標楷體" w:hAnsi="標楷體" w:hint="eastAsia"/>
                <w:color w:val="000000" w:themeColor="text1"/>
              </w:rPr>
              <w:t>公立專科以上學校校長教授副教授延長服務辦法</w:t>
            </w:r>
            <w:r>
              <w:rPr>
                <w:rFonts w:ascii="標楷體" w:eastAsia="標楷體" w:hAnsi="標楷體" w:hint="eastAsia"/>
                <w:color w:val="000000" w:themeColor="text1"/>
              </w:rPr>
              <w:t>」審認已屆應即退休年齡之</w:t>
            </w:r>
            <w:r w:rsidRPr="00A0005A">
              <w:rPr>
                <w:rFonts w:ascii="標楷體" w:eastAsia="標楷體" w:hAnsi="標楷體" w:cs="新細明體" w:hint="eastAsia"/>
                <w:color w:val="FF0000"/>
                <w:kern w:val="0"/>
                <w:szCs w:val="24"/>
              </w:rPr>
              <w:t>教授、副教授</w:t>
            </w:r>
            <w:r>
              <w:rPr>
                <w:rFonts w:ascii="標楷體" w:eastAsia="標楷體" w:hAnsi="標楷體" w:cs="新細明體" w:hint="eastAsia"/>
                <w:color w:val="FF0000"/>
                <w:kern w:val="0"/>
                <w:szCs w:val="24"/>
              </w:rPr>
              <w:t>，</w:t>
            </w:r>
            <w:r>
              <w:rPr>
                <w:rFonts w:ascii="標楷體" w:eastAsia="標楷體" w:hAnsi="標楷體" w:hint="eastAsia"/>
                <w:color w:val="000000" w:themeColor="text1"/>
              </w:rPr>
              <w:t>得延長服務要件及其繼續服務期限</w:t>
            </w:r>
            <w:r w:rsidR="00424BB1">
              <w:rPr>
                <w:rFonts w:ascii="標楷體" w:eastAsia="標楷體" w:hAnsi="標楷體" w:hint="eastAsia"/>
                <w:color w:val="000000" w:themeColor="text1"/>
              </w:rPr>
              <w:t>，補充</w:t>
            </w:r>
            <w:r w:rsidR="00424BB1">
              <w:rPr>
                <w:rFonts w:ascii="標楷體" w:eastAsia="標楷體" w:hAnsi="標楷體" w:hint="eastAsia"/>
                <w:color w:val="000000" w:themeColor="text1"/>
              </w:rPr>
              <w:t>第一項</w:t>
            </w:r>
            <w:r w:rsidR="00424BB1">
              <w:rPr>
                <w:rFonts w:ascii="標楷體" w:eastAsia="標楷體" w:hAnsi="標楷體" w:hint="eastAsia"/>
                <w:color w:val="000000" w:themeColor="text1"/>
              </w:rPr>
              <w:t>但書規定。</w:t>
            </w:r>
          </w:p>
          <w:p w:rsidR="00424BB1" w:rsidRDefault="00424BB1" w:rsidP="00A0005A">
            <w:pPr>
              <w:rPr>
                <w:rFonts w:ascii="標楷體" w:eastAsia="標楷體" w:hAnsi="標楷體"/>
                <w:color w:val="000000" w:themeColor="text1"/>
              </w:rPr>
            </w:pPr>
          </w:p>
          <w:p w:rsidR="00A0005A" w:rsidRDefault="00424BB1" w:rsidP="00A0005A">
            <w:pPr>
              <w:rPr>
                <w:rFonts w:ascii="標楷體" w:eastAsia="標楷體" w:hAnsi="標楷體"/>
                <w:color w:val="000000" w:themeColor="text1"/>
              </w:rPr>
            </w:pPr>
            <w:r>
              <w:rPr>
                <w:rFonts w:ascii="標楷體" w:eastAsia="標楷體" w:hAnsi="標楷體" w:hint="eastAsia"/>
                <w:color w:val="000000" w:themeColor="text1"/>
              </w:rPr>
              <w:t>增列第二項，授權各學術單位另訂</w:t>
            </w:r>
            <w:r w:rsidRPr="00A0005A">
              <w:rPr>
                <w:rFonts w:ascii="標楷體" w:eastAsia="標楷體" w:hAnsi="標楷體" w:cs="新細明體" w:hint="eastAsia"/>
                <w:kern w:val="0"/>
                <w:szCs w:val="24"/>
              </w:rPr>
              <w:t>約用資格條件</w:t>
            </w:r>
            <w:r>
              <w:rPr>
                <w:rFonts w:ascii="標楷體" w:eastAsia="標楷體" w:hAnsi="標楷體" w:cs="新細明體" w:hint="eastAsia"/>
                <w:kern w:val="0"/>
                <w:szCs w:val="24"/>
              </w:rPr>
              <w:t>之</w:t>
            </w:r>
            <w:r>
              <w:rPr>
                <w:rFonts w:ascii="標楷體" w:eastAsia="標楷體" w:hAnsi="標楷體" w:hint="eastAsia"/>
                <w:color w:val="000000" w:themeColor="text1"/>
              </w:rPr>
              <w:t>更嚴格條件，以下項次遞移。</w:t>
            </w:r>
          </w:p>
          <w:p w:rsidR="00424BB1" w:rsidRPr="00A0005A" w:rsidRDefault="00424BB1" w:rsidP="00A0005A">
            <w:pPr>
              <w:rPr>
                <w:rFonts w:ascii="標楷體" w:eastAsia="標楷體" w:hAnsi="標楷體" w:hint="eastAsia"/>
                <w:color w:val="000000" w:themeColor="text1"/>
              </w:rPr>
            </w:pPr>
          </w:p>
          <w:p w:rsidR="00A0005A" w:rsidRPr="00424BB1" w:rsidRDefault="00A0005A" w:rsidP="00A0005A">
            <w:pPr>
              <w:rPr>
                <w:rFonts w:ascii="標楷體" w:eastAsia="標楷體" w:hAnsi="標楷體"/>
                <w:color w:val="000000" w:themeColor="text1"/>
              </w:rPr>
            </w:pPr>
          </w:p>
        </w:tc>
      </w:tr>
    </w:tbl>
    <w:p w:rsidR="00FA7528" w:rsidRPr="004D08E0" w:rsidRDefault="00FA7528" w:rsidP="00013253"/>
    <w:p w:rsidR="00FA7528" w:rsidRDefault="00FA7528">
      <w:pPr>
        <w:widowControl/>
      </w:pPr>
    </w:p>
    <w:sectPr w:rsidR="00FA7528" w:rsidSect="00A36C33">
      <w:pgSz w:w="11906" w:h="16838"/>
      <w:pgMar w:top="1440" w:right="99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7C" w:rsidRDefault="00384A7C" w:rsidP="0076146B">
      <w:r>
        <w:separator/>
      </w:r>
    </w:p>
  </w:endnote>
  <w:endnote w:type="continuationSeparator" w:id="0">
    <w:p w:rsidR="00384A7C" w:rsidRDefault="00384A7C" w:rsidP="007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7C" w:rsidRDefault="00384A7C" w:rsidP="0076146B">
      <w:r>
        <w:separator/>
      </w:r>
    </w:p>
  </w:footnote>
  <w:footnote w:type="continuationSeparator" w:id="0">
    <w:p w:rsidR="00384A7C" w:rsidRDefault="00384A7C" w:rsidP="007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786"/>
    <w:multiLevelType w:val="hybridMultilevel"/>
    <w:tmpl w:val="05585D48"/>
    <w:lvl w:ilvl="0" w:tplc="2F3C9B56">
      <w:start w:val="1"/>
      <w:numFmt w:val="taiwaneseCountingThousand"/>
      <w:lvlText w:val="%1、"/>
      <w:lvlJc w:val="left"/>
      <w:pPr>
        <w:ind w:left="1320" w:hanging="480"/>
      </w:pPr>
      <w:rPr>
        <w:color w:val="000000" w:themeColor="text1"/>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C0C520B"/>
    <w:multiLevelType w:val="hybridMultilevel"/>
    <w:tmpl w:val="99D89384"/>
    <w:lvl w:ilvl="0" w:tplc="DAB28284">
      <w:start w:val="1"/>
      <w:numFmt w:val="taiwaneseCountingThousand"/>
      <w:lvlText w:val="%1、"/>
      <w:lvlJc w:val="left"/>
      <w:pPr>
        <w:ind w:left="425" w:hanging="480"/>
      </w:pPr>
      <w:rPr>
        <w:rFonts w:ascii="標楷體" w:hAnsi="標楷體" w:hint="default"/>
        <w:color w:val="000000" w:themeColor="text1"/>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2" w15:restartNumberingAfterBreak="0">
    <w:nsid w:val="0CC17539"/>
    <w:multiLevelType w:val="hybridMultilevel"/>
    <w:tmpl w:val="A9501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87A07"/>
    <w:multiLevelType w:val="hybridMultilevel"/>
    <w:tmpl w:val="993617F8"/>
    <w:lvl w:ilvl="0" w:tplc="D18695DE">
      <w:start w:val="1"/>
      <w:numFmt w:val="taiwaneseCountingThousand"/>
      <w:lvlText w:val="%1、"/>
      <w:lvlJc w:val="left"/>
      <w:pPr>
        <w:ind w:left="480" w:hanging="48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D1016"/>
    <w:multiLevelType w:val="hybridMultilevel"/>
    <w:tmpl w:val="B83EA372"/>
    <w:lvl w:ilvl="0" w:tplc="57A0F16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C61485"/>
    <w:multiLevelType w:val="hybridMultilevel"/>
    <w:tmpl w:val="D31EAE5C"/>
    <w:lvl w:ilvl="0" w:tplc="1C52DD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FD13D2"/>
    <w:multiLevelType w:val="hybridMultilevel"/>
    <w:tmpl w:val="296436FA"/>
    <w:lvl w:ilvl="0" w:tplc="1C52DD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A150C"/>
    <w:multiLevelType w:val="hybridMultilevel"/>
    <w:tmpl w:val="57E200C8"/>
    <w:lvl w:ilvl="0" w:tplc="D0C6E48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C5BA0"/>
    <w:multiLevelType w:val="hybridMultilevel"/>
    <w:tmpl w:val="A394F2B6"/>
    <w:lvl w:ilvl="0" w:tplc="06DED184">
      <w:start w:val="1"/>
      <w:numFmt w:val="taiwaneseCountingThousand"/>
      <w:lvlText w:val="%1、"/>
      <w:lvlJc w:val="left"/>
      <w:pPr>
        <w:ind w:left="720" w:hanging="720"/>
      </w:pPr>
    </w:lvl>
    <w:lvl w:ilvl="1" w:tplc="7CCE5202">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2145994"/>
    <w:multiLevelType w:val="hybridMultilevel"/>
    <w:tmpl w:val="7D942B9C"/>
    <w:lvl w:ilvl="0" w:tplc="218C515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AF1D98"/>
    <w:multiLevelType w:val="hybridMultilevel"/>
    <w:tmpl w:val="ECB8E48A"/>
    <w:lvl w:ilvl="0" w:tplc="57A0F16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9"/>
  </w:num>
  <w:num w:numId="7">
    <w:abstractNumId w:val="10"/>
  </w:num>
  <w:num w:numId="8">
    <w:abstractNumId w:val="7"/>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BB"/>
    <w:rsid w:val="00012E65"/>
    <w:rsid w:val="00013253"/>
    <w:rsid w:val="0002614F"/>
    <w:rsid w:val="000261B1"/>
    <w:rsid w:val="0003301C"/>
    <w:rsid w:val="0005034F"/>
    <w:rsid w:val="000519DB"/>
    <w:rsid w:val="000728CB"/>
    <w:rsid w:val="00091326"/>
    <w:rsid w:val="000933CB"/>
    <w:rsid w:val="00093468"/>
    <w:rsid w:val="000E33A0"/>
    <w:rsid w:val="000F6A11"/>
    <w:rsid w:val="001059E1"/>
    <w:rsid w:val="00106EAB"/>
    <w:rsid w:val="0011200D"/>
    <w:rsid w:val="00121AFF"/>
    <w:rsid w:val="00153CEB"/>
    <w:rsid w:val="001556FA"/>
    <w:rsid w:val="00163FBE"/>
    <w:rsid w:val="001867EB"/>
    <w:rsid w:val="0019455A"/>
    <w:rsid w:val="001D33CD"/>
    <w:rsid w:val="001E2E2A"/>
    <w:rsid w:val="001E6CDD"/>
    <w:rsid w:val="0020731B"/>
    <w:rsid w:val="00231F27"/>
    <w:rsid w:val="0024584F"/>
    <w:rsid w:val="002558AF"/>
    <w:rsid w:val="00264401"/>
    <w:rsid w:val="0027475E"/>
    <w:rsid w:val="0027769E"/>
    <w:rsid w:val="00285ABB"/>
    <w:rsid w:val="002A0515"/>
    <w:rsid w:val="002C44D6"/>
    <w:rsid w:val="002D38FE"/>
    <w:rsid w:val="002E2801"/>
    <w:rsid w:val="003125AB"/>
    <w:rsid w:val="00312AF7"/>
    <w:rsid w:val="003208A7"/>
    <w:rsid w:val="00332802"/>
    <w:rsid w:val="0034091B"/>
    <w:rsid w:val="003644B6"/>
    <w:rsid w:val="00370BE2"/>
    <w:rsid w:val="00384A7C"/>
    <w:rsid w:val="00396DB6"/>
    <w:rsid w:val="003B3C07"/>
    <w:rsid w:val="003E2E54"/>
    <w:rsid w:val="003E762C"/>
    <w:rsid w:val="00411ABD"/>
    <w:rsid w:val="00412C7A"/>
    <w:rsid w:val="0041355C"/>
    <w:rsid w:val="00424BB1"/>
    <w:rsid w:val="00465024"/>
    <w:rsid w:val="00483CE4"/>
    <w:rsid w:val="004925CA"/>
    <w:rsid w:val="004A6D9F"/>
    <w:rsid w:val="004B33B9"/>
    <w:rsid w:val="004B6F41"/>
    <w:rsid w:val="004D08E0"/>
    <w:rsid w:val="00530F95"/>
    <w:rsid w:val="005371A1"/>
    <w:rsid w:val="00540601"/>
    <w:rsid w:val="00547B28"/>
    <w:rsid w:val="005541AF"/>
    <w:rsid w:val="00581068"/>
    <w:rsid w:val="005827B3"/>
    <w:rsid w:val="00591887"/>
    <w:rsid w:val="005A225F"/>
    <w:rsid w:val="005A5FCD"/>
    <w:rsid w:val="005C20CF"/>
    <w:rsid w:val="005D460F"/>
    <w:rsid w:val="00647BF5"/>
    <w:rsid w:val="00650198"/>
    <w:rsid w:val="00651925"/>
    <w:rsid w:val="006570CC"/>
    <w:rsid w:val="006575C7"/>
    <w:rsid w:val="0066035E"/>
    <w:rsid w:val="00666678"/>
    <w:rsid w:val="00670A71"/>
    <w:rsid w:val="00684B02"/>
    <w:rsid w:val="00694DB6"/>
    <w:rsid w:val="0069526A"/>
    <w:rsid w:val="006B09A5"/>
    <w:rsid w:val="006E4C09"/>
    <w:rsid w:val="006E7D7F"/>
    <w:rsid w:val="006F10E1"/>
    <w:rsid w:val="00707C38"/>
    <w:rsid w:val="007346D5"/>
    <w:rsid w:val="00735BF7"/>
    <w:rsid w:val="007502F2"/>
    <w:rsid w:val="0076146B"/>
    <w:rsid w:val="00764E47"/>
    <w:rsid w:val="00765E7D"/>
    <w:rsid w:val="00767FBA"/>
    <w:rsid w:val="00774236"/>
    <w:rsid w:val="00775AB4"/>
    <w:rsid w:val="007F214C"/>
    <w:rsid w:val="0082649D"/>
    <w:rsid w:val="00834F4C"/>
    <w:rsid w:val="00842DCE"/>
    <w:rsid w:val="0084366F"/>
    <w:rsid w:val="00884CB7"/>
    <w:rsid w:val="00887165"/>
    <w:rsid w:val="0089092F"/>
    <w:rsid w:val="008A789B"/>
    <w:rsid w:val="008B7ED9"/>
    <w:rsid w:val="009011D6"/>
    <w:rsid w:val="00904D44"/>
    <w:rsid w:val="0091144B"/>
    <w:rsid w:val="00915FAD"/>
    <w:rsid w:val="00920E53"/>
    <w:rsid w:val="00922BC7"/>
    <w:rsid w:val="00985651"/>
    <w:rsid w:val="009C024F"/>
    <w:rsid w:val="009C0B59"/>
    <w:rsid w:val="00A0005A"/>
    <w:rsid w:val="00A1004D"/>
    <w:rsid w:val="00A2665B"/>
    <w:rsid w:val="00A30331"/>
    <w:rsid w:val="00A312B3"/>
    <w:rsid w:val="00A31AD3"/>
    <w:rsid w:val="00A36C33"/>
    <w:rsid w:val="00A53445"/>
    <w:rsid w:val="00A80609"/>
    <w:rsid w:val="00A91377"/>
    <w:rsid w:val="00AC6E03"/>
    <w:rsid w:val="00AD7C54"/>
    <w:rsid w:val="00B37204"/>
    <w:rsid w:val="00B45746"/>
    <w:rsid w:val="00B50871"/>
    <w:rsid w:val="00B62B27"/>
    <w:rsid w:val="00B7212C"/>
    <w:rsid w:val="00B73033"/>
    <w:rsid w:val="00B870B7"/>
    <w:rsid w:val="00BB23D3"/>
    <w:rsid w:val="00BC2A20"/>
    <w:rsid w:val="00BC3551"/>
    <w:rsid w:val="00BC44AC"/>
    <w:rsid w:val="00C0247B"/>
    <w:rsid w:val="00C02885"/>
    <w:rsid w:val="00C225B2"/>
    <w:rsid w:val="00C30BE2"/>
    <w:rsid w:val="00C33267"/>
    <w:rsid w:val="00C453C0"/>
    <w:rsid w:val="00C612A4"/>
    <w:rsid w:val="00C65A3C"/>
    <w:rsid w:val="00C6681C"/>
    <w:rsid w:val="00C73C77"/>
    <w:rsid w:val="00C82638"/>
    <w:rsid w:val="00C86AE4"/>
    <w:rsid w:val="00CA6E04"/>
    <w:rsid w:val="00CB5DB6"/>
    <w:rsid w:val="00CD2EDF"/>
    <w:rsid w:val="00CF1928"/>
    <w:rsid w:val="00CF5FF6"/>
    <w:rsid w:val="00D03A42"/>
    <w:rsid w:val="00D05B32"/>
    <w:rsid w:val="00D2524C"/>
    <w:rsid w:val="00D27348"/>
    <w:rsid w:val="00D33616"/>
    <w:rsid w:val="00D36B44"/>
    <w:rsid w:val="00D848BE"/>
    <w:rsid w:val="00D86DE0"/>
    <w:rsid w:val="00DC3248"/>
    <w:rsid w:val="00DE1A71"/>
    <w:rsid w:val="00DE571D"/>
    <w:rsid w:val="00DF0889"/>
    <w:rsid w:val="00DF643B"/>
    <w:rsid w:val="00E07D0A"/>
    <w:rsid w:val="00E25D9F"/>
    <w:rsid w:val="00E33076"/>
    <w:rsid w:val="00E4465A"/>
    <w:rsid w:val="00E44AB1"/>
    <w:rsid w:val="00E65E41"/>
    <w:rsid w:val="00E76B76"/>
    <w:rsid w:val="00E934D3"/>
    <w:rsid w:val="00EE3553"/>
    <w:rsid w:val="00EE6F4E"/>
    <w:rsid w:val="00EF0921"/>
    <w:rsid w:val="00EF1E85"/>
    <w:rsid w:val="00EF5A4E"/>
    <w:rsid w:val="00F1140B"/>
    <w:rsid w:val="00F51496"/>
    <w:rsid w:val="00F64C18"/>
    <w:rsid w:val="00F7081C"/>
    <w:rsid w:val="00F73EE5"/>
    <w:rsid w:val="00FA6B8A"/>
    <w:rsid w:val="00FA7528"/>
    <w:rsid w:val="00FC57E3"/>
    <w:rsid w:val="00FD4CF3"/>
    <w:rsid w:val="00FE7F78"/>
    <w:rsid w:val="00FF18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1B37"/>
  <w15:docId w15:val="{11A2494D-8F10-459B-968E-795B645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46B"/>
    <w:pPr>
      <w:tabs>
        <w:tab w:val="center" w:pos="4153"/>
        <w:tab w:val="right" w:pos="8306"/>
      </w:tabs>
      <w:snapToGrid w:val="0"/>
    </w:pPr>
    <w:rPr>
      <w:sz w:val="20"/>
      <w:szCs w:val="20"/>
    </w:rPr>
  </w:style>
  <w:style w:type="character" w:customStyle="1" w:styleId="a4">
    <w:name w:val="頁首 字元"/>
    <w:basedOn w:val="a0"/>
    <w:link w:val="a3"/>
    <w:uiPriority w:val="99"/>
    <w:rsid w:val="0076146B"/>
    <w:rPr>
      <w:sz w:val="20"/>
      <w:szCs w:val="20"/>
    </w:rPr>
  </w:style>
  <w:style w:type="paragraph" w:styleId="a5">
    <w:name w:val="footer"/>
    <w:basedOn w:val="a"/>
    <w:link w:val="a6"/>
    <w:uiPriority w:val="99"/>
    <w:unhideWhenUsed/>
    <w:rsid w:val="0076146B"/>
    <w:pPr>
      <w:tabs>
        <w:tab w:val="center" w:pos="4153"/>
        <w:tab w:val="right" w:pos="8306"/>
      </w:tabs>
      <w:snapToGrid w:val="0"/>
    </w:pPr>
    <w:rPr>
      <w:sz w:val="20"/>
      <w:szCs w:val="20"/>
    </w:rPr>
  </w:style>
  <w:style w:type="character" w:customStyle="1" w:styleId="a6">
    <w:name w:val="頁尾 字元"/>
    <w:basedOn w:val="a0"/>
    <w:link w:val="a5"/>
    <w:uiPriority w:val="99"/>
    <w:rsid w:val="0076146B"/>
    <w:rPr>
      <w:sz w:val="20"/>
      <w:szCs w:val="20"/>
    </w:rPr>
  </w:style>
  <w:style w:type="paragraph" w:customStyle="1" w:styleId="a7">
    <w:name w:val="公文(段落)"/>
    <w:basedOn w:val="a"/>
    <w:next w:val="a"/>
    <w:rsid w:val="0076146B"/>
    <w:pPr>
      <w:kinsoku w:val="0"/>
      <w:snapToGrid w:val="0"/>
      <w:spacing w:after="200" w:line="500" w:lineRule="exact"/>
      <w:ind w:left="958" w:hanging="958"/>
    </w:pPr>
    <w:rPr>
      <w:rFonts w:ascii="標楷體" w:eastAsia="標楷體" w:hAnsi="標楷體" w:cs="Times New Roman"/>
      <w:sz w:val="32"/>
      <w:szCs w:val="24"/>
    </w:rPr>
  </w:style>
  <w:style w:type="table" w:styleId="a8">
    <w:name w:val="Table Grid"/>
    <w:basedOn w:val="a1"/>
    <w:uiPriority w:val="39"/>
    <w:rsid w:val="00F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公文(後續段落)"/>
    <w:basedOn w:val="a"/>
    <w:rsid w:val="00DF643B"/>
    <w:pPr>
      <w:spacing w:line="500" w:lineRule="exact"/>
      <w:ind w:left="317"/>
    </w:pPr>
    <w:rPr>
      <w:rFonts w:ascii="Times New Roman" w:eastAsia="標楷體" w:hAnsi="Times New Roman" w:cs="Times New Roman"/>
      <w:sz w:val="32"/>
      <w:szCs w:val="24"/>
    </w:rPr>
  </w:style>
  <w:style w:type="paragraph" w:styleId="aa">
    <w:name w:val="Body Text"/>
    <w:basedOn w:val="a"/>
    <w:link w:val="ab"/>
    <w:rsid w:val="00DF643B"/>
    <w:pPr>
      <w:spacing w:after="120"/>
    </w:pPr>
    <w:rPr>
      <w:rFonts w:ascii="Times New Roman" w:eastAsia="新細明體" w:hAnsi="Times New Roman" w:cs="Times New Roman"/>
      <w:szCs w:val="24"/>
    </w:rPr>
  </w:style>
  <w:style w:type="character" w:customStyle="1" w:styleId="ab">
    <w:name w:val="本文 字元"/>
    <w:basedOn w:val="a0"/>
    <w:link w:val="aa"/>
    <w:rsid w:val="00DF643B"/>
    <w:rPr>
      <w:rFonts w:ascii="Times New Roman" w:eastAsia="新細明體" w:hAnsi="Times New Roman" w:cs="Times New Roman"/>
      <w:szCs w:val="24"/>
    </w:rPr>
  </w:style>
  <w:style w:type="paragraph" w:styleId="ac">
    <w:name w:val="List Paragraph"/>
    <w:basedOn w:val="a"/>
    <w:uiPriority w:val="34"/>
    <w:qFormat/>
    <w:rsid w:val="0019455A"/>
    <w:pPr>
      <w:ind w:left="480"/>
    </w:pPr>
  </w:style>
  <w:style w:type="paragraph" w:styleId="HTML">
    <w:name w:val="HTML Preformatted"/>
    <w:basedOn w:val="a"/>
    <w:link w:val="HTML0"/>
    <w:uiPriority w:val="99"/>
    <w:unhideWhenUsed/>
    <w:rsid w:val="00EE6F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6F4E"/>
    <w:rPr>
      <w:rFonts w:ascii="細明體" w:eastAsia="細明體" w:hAnsi="細明體" w:cs="細明體"/>
      <w:kern w:val="0"/>
      <w:szCs w:val="24"/>
    </w:rPr>
  </w:style>
  <w:style w:type="character" w:styleId="ad">
    <w:name w:val="Emphasis"/>
    <w:basedOn w:val="a0"/>
    <w:uiPriority w:val="20"/>
    <w:qFormat/>
    <w:rsid w:val="002A0515"/>
    <w:rPr>
      <w:b w:val="0"/>
      <w:bCs w:val="0"/>
      <w:i w:val="0"/>
      <w:iCs w:val="0"/>
      <w:color w:val="DD4B39"/>
    </w:rPr>
  </w:style>
  <w:style w:type="character" w:customStyle="1" w:styleId="st1">
    <w:name w:val="st1"/>
    <w:basedOn w:val="a0"/>
    <w:rsid w:val="002A0515"/>
  </w:style>
  <w:style w:type="paragraph" w:styleId="3">
    <w:name w:val="Body Text Indent 3"/>
    <w:basedOn w:val="a"/>
    <w:link w:val="30"/>
    <w:uiPriority w:val="99"/>
    <w:semiHidden/>
    <w:unhideWhenUsed/>
    <w:rsid w:val="00904D44"/>
    <w:pPr>
      <w:spacing w:after="120"/>
      <w:ind w:left="480"/>
    </w:pPr>
    <w:rPr>
      <w:sz w:val="16"/>
      <w:szCs w:val="16"/>
    </w:rPr>
  </w:style>
  <w:style w:type="character" w:customStyle="1" w:styleId="30">
    <w:name w:val="本文縮排 3 字元"/>
    <w:basedOn w:val="a0"/>
    <w:link w:val="3"/>
    <w:uiPriority w:val="99"/>
    <w:semiHidden/>
    <w:rsid w:val="00904D44"/>
    <w:rPr>
      <w:sz w:val="16"/>
      <w:szCs w:val="16"/>
    </w:rPr>
  </w:style>
  <w:style w:type="paragraph" w:styleId="ae">
    <w:name w:val="Balloon Text"/>
    <w:basedOn w:val="a"/>
    <w:link w:val="af"/>
    <w:uiPriority w:val="99"/>
    <w:semiHidden/>
    <w:unhideWhenUsed/>
    <w:rsid w:val="000E33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33A0"/>
    <w:rPr>
      <w:rFonts w:asciiTheme="majorHAnsi" w:eastAsiaTheme="majorEastAsia" w:hAnsiTheme="majorHAnsi" w:cstheme="majorBidi"/>
      <w:sz w:val="18"/>
      <w:szCs w:val="18"/>
    </w:rPr>
  </w:style>
  <w:style w:type="paragraph" w:customStyle="1" w:styleId="cjk">
    <w:name w:val="cjk"/>
    <w:basedOn w:val="a"/>
    <w:rsid w:val="00C02885"/>
    <w:pPr>
      <w:widowControl/>
      <w:spacing w:before="100" w:beforeAutospacing="1" w:after="142" w:line="288" w:lineRule="auto"/>
    </w:pPr>
    <w:rPr>
      <w:rFonts w:ascii="新細明體" w:eastAsia="新細明體" w:hAnsi="新細明體" w:cs="新細明體"/>
      <w:color w:val="000000"/>
      <w:kern w:val="0"/>
      <w:szCs w:val="24"/>
    </w:rPr>
  </w:style>
  <w:style w:type="paragraph" w:styleId="Web">
    <w:name w:val="Normal (Web)"/>
    <w:basedOn w:val="a"/>
    <w:uiPriority w:val="99"/>
    <w:semiHidden/>
    <w:unhideWhenUsed/>
    <w:rsid w:val="00694DB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4076">
      <w:bodyDiv w:val="1"/>
      <w:marLeft w:val="0"/>
      <w:marRight w:val="0"/>
      <w:marTop w:val="0"/>
      <w:marBottom w:val="0"/>
      <w:divBdr>
        <w:top w:val="none" w:sz="0" w:space="0" w:color="auto"/>
        <w:left w:val="none" w:sz="0" w:space="0" w:color="auto"/>
        <w:bottom w:val="none" w:sz="0" w:space="0" w:color="auto"/>
        <w:right w:val="none" w:sz="0" w:space="0" w:color="auto"/>
      </w:divBdr>
    </w:div>
    <w:div w:id="342753628">
      <w:bodyDiv w:val="1"/>
      <w:marLeft w:val="0"/>
      <w:marRight w:val="0"/>
      <w:marTop w:val="0"/>
      <w:marBottom w:val="0"/>
      <w:divBdr>
        <w:top w:val="none" w:sz="0" w:space="0" w:color="auto"/>
        <w:left w:val="none" w:sz="0" w:space="0" w:color="auto"/>
        <w:bottom w:val="none" w:sz="0" w:space="0" w:color="auto"/>
        <w:right w:val="none" w:sz="0" w:space="0" w:color="auto"/>
      </w:divBdr>
    </w:div>
    <w:div w:id="428240726">
      <w:bodyDiv w:val="1"/>
      <w:marLeft w:val="0"/>
      <w:marRight w:val="0"/>
      <w:marTop w:val="0"/>
      <w:marBottom w:val="0"/>
      <w:divBdr>
        <w:top w:val="none" w:sz="0" w:space="0" w:color="auto"/>
        <w:left w:val="none" w:sz="0" w:space="0" w:color="auto"/>
        <w:bottom w:val="none" w:sz="0" w:space="0" w:color="auto"/>
        <w:right w:val="none" w:sz="0" w:space="0" w:color="auto"/>
      </w:divBdr>
    </w:div>
    <w:div w:id="565646780">
      <w:bodyDiv w:val="1"/>
      <w:marLeft w:val="0"/>
      <w:marRight w:val="0"/>
      <w:marTop w:val="0"/>
      <w:marBottom w:val="0"/>
      <w:divBdr>
        <w:top w:val="none" w:sz="0" w:space="0" w:color="auto"/>
        <w:left w:val="none" w:sz="0" w:space="0" w:color="auto"/>
        <w:bottom w:val="none" w:sz="0" w:space="0" w:color="auto"/>
        <w:right w:val="none" w:sz="0" w:space="0" w:color="auto"/>
      </w:divBdr>
    </w:div>
    <w:div w:id="569577235">
      <w:bodyDiv w:val="1"/>
      <w:marLeft w:val="0"/>
      <w:marRight w:val="0"/>
      <w:marTop w:val="0"/>
      <w:marBottom w:val="0"/>
      <w:divBdr>
        <w:top w:val="none" w:sz="0" w:space="0" w:color="auto"/>
        <w:left w:val="none" w:sz="0" w:space="0" w:color="auto"/>
        <w:bottom w:val="none" w:sz="0" w:space="0" w:color="auto"/>
        <w:right w:val="none" w:sz="0" w:space="0" w:color="auto"/>
      </w:divBdr>
    </w:div>
    <w:div w:id="813444851">
      <w:bodyDiv w:val="1"/>
      <w:marLeft w:val="0"/>
      <w:marRight w:val="0"/>
      <w:marTop w:val="0"/>
      <w:marBottom w:val="0"/>
      <w:divBdr>
        <w:top w:val="none" w:sz="0" w:space="0" w:color="auto"/>
        <w:left w:val="none" w:sz="0" w:space="0" w:color="auto"/>
        <w:bottom w:val="none" w:sz="0" w:space="0" w:color="auto"/>
        <w:right w:val="none" w:sz="0" w:space="0" w:color="auto"/>
      </w:divBdr>
    </w:div>
    <w:div w:id="917665916">
      <w:bodyDiv w:val="1"/>
      <w:marLeft w:val="0"/>
      <w:marRight w:val="0"/>
      <w:marTop w:val="0"/>
      <w:marBottom w:val="0"/>
      <w:divBdr>
        <w:top w:val="none" w:sz="0" w:space="0" w:color="auto"/>
        <w:left w:val="none" w:sz="0" w:space="0" w:color="auto"/>
        <w:bottom w:val="none" w:sz="0" w:space="0" w:color="auto"/>
        <w:right w:val="none" w:sz="0" w:space="0" w:color="auto"/>
      </w:divBdr>
    </w:div>
    <w:div w:id="1192456073">
      <w:bodyDiv w:val="1"/>
      <w:marLeft w:val="0"/>
      <w:marRight w:val="0"/>
      <w:marTop w:val="0"/>
      <w:marBottom w:val="0"/>
      <w:divBdr>
        <w:top w:val="none" w:sz="0" w:space="0" w:color="auto"/>
        <w:left w:val="none" w:sz="0" w:space="0" w:color="auto"/>
        <w:bottom w:val="none" w:sz="0" w:space="0" w:color="auto"/>
        <w:right w:val="none" w:sz="0" w:space="0" w:color="auto"/>
      </w:divBdr>
    </w:div>
    <w:div w:id="1222599704">
      <w:bodyDiv w:val="1"/>
      <w:marLeft w:val="0"/>
      <w:marRight w:val="0"/>
      <w:marTop w:val="0"/>
      <w:marBottom w:val="0"/>
      <w:divBdr>
        <w:top w:val="none" w:sz="0" w:space="0" w:color="auto"/>
        <w:left w:val="none" w:sz="0" w:space="0" w:color="auto"/>
        <w:bottom w:val="none" w:sz="0" w:space="0" w:color="auto"/>
        <w:right w:val="none" w:sz="0" w:space="0" w:color="auto"/>
      </w:divBdr>
    </w:div>
    <w:div w:id="1367751311">
      <w:bodyDiv w:val="1"/>
      <w:marLeft w:val="0"/>
      <w:marRight w:val="0"/>
      <w:marTop w:val="0"/>
      <w:marBottom w:val="0"/>
      <w:divBdr>
        <w:top w:val="none" w:sz="0" w:space="0" w:color="auto"/>
        <w:left w:val="none" w:sz="0" w:space="0" w:color="auto"/>
        <w:bottom w:val="none" w:sz="0" w:space="0" w:color="auto"/>
        <w:right w:val="none" w:sz="0" w:space="0" w:color="auto"/>
      </w:divBdr>
      <w:divsChild>
        <w:div w:id="1032418698">
          <w:marLeft w:val="0"/>
          <w:marRight w:val="0"/>
          <w:marTop w:val="0"/>
          <w:marBottom w:val="0"/>
          <w:divBdr>
            <w:top w:val="none" w:sz="0" w:space="0" w:color="auto"/>
            <w:left w:val="none" w:sz="0" w:space="0" w:color="auto"/>
            <w:bottom w:val="none" w:sz="0" w:space="0" w:color="auto"/>
            <w:right w:val="none" w:sz="0" w:space="0" w:color="auto"/>
          </w:divBdr>
        </w:div>
      </w:divsChild>
    </w:div>
    <w:div w:id="1515417166">
      <w:bodyDiv w:val="1"/>
      <w:marLeft w:val="0"/>
      <w:marRight w:val="0"/>
      <w:marTop w:val="0"/>
      <w:marBottom w:val="0"/>
      <w:divBdr>
        <w:top w:val="none" w:sz="0" w:space="0" w:color="auto"/>
        <w:left w:val="none" w:sz="0" w:space="0" w:color="auto"/>
        <w:bottom w:val="none" w:sz="0" w:space="0" w:color="auto"/>
        <w:right w:val="none" w:sz="0" w:space="0" w:color="auto"/>
      </w:divBdr>
    </w:div>
    <w:div w:id="2056349075">
      <w:bodyDiv w:val="1"/>
      <w:marLeft w:val="0"/>
      <w:marRight w:val="0"/>
      <w:marTop w:val="0"/>
      <w:marBottom w:val="0"/>
      <w:divBdr>
        <w:top w:val="none" w:sz="0" w:space="0" w:color="auto"/>
        <w:left w:val="none" w:sz="0" w:space="0" w:color="auto"/>
        <w:bottom w:val="none" w:sz="0" w:space="0" w:color="auto"/>
        <w:right w:val="none" w:sz="0" w:space="0" w:color="auto"/>
      </w:divBdr>
    </w:div>
    <w:div w:id="2075855199">
      <w:bodyDiv w:val="1"/>
      <w:marLeft w:val="0"/>
      <w:marRight w:val="0"/>
      <w:marTop w:val="0"/>
      <w:marBottom w:val="0"/>
      <w:divBdr>
        <w:top w:val="none" w:sz="0" w:space="0" w:color="auto"/>
        <w:left w:val="none" w:sz="0" w:space="0" w:color="auto"/>
        <w:bottom w:val="none" w:sz="0" w:space="0" w:color="auto"/>
        <w:right w:val="none" w:sz="0" w:space="0" w:color="auto"/>
      </w:divBdr>
    </w:div>
    <w:div w:id="21222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D226-CCAE-4C89-A79D-6B037DB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人事室李采蔆</dc:creator>
  <cp:lastModifiedBy>nkuht</cp:lastModifiedBy>
  <cp:revision>2</cp:revision>
  <cp:lastPrinted>2020-07-22T06:47:00Z</cp:lastPrinted>
  <dcterms:created xsi:type="dcterms:W3CDTF">2020-09-30T07:37:00Z</dcterms:created>
  <dcterms:modified xsi:type="dcterms:W3CDTF">2020-09-30T07:37:00Z</dcterms:modified>
</cp:coreProperties>
</file>