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25" w:rsidRDefault="00F1140B" w:rsidP="0076146B">
      <w:pPr>
        <w:pStyle w:val="a7"/>
        <w:spacing w:before="100" w:beforeAutospacing="1" w:after="100" w:afterAutospacing="1" w:line="240" w:lineRule="auto"/>
        <w:ind w:left="0" w:firstLine="0"/>
        <w:jc w:val="center"/>
        <w:rPr>
          <w:szCs w:val="32"/>
        </w:rPr>
      </w:pPr>
      <w:r>
        <w:rPr>
          <w:rFonts w:hint="eastAsia"/>
          <w:szCs w:val="32"/>
        </w:rPr>
        <w:t>國立高雄餐旅大學</w:t>
      </w:r>
      <w:r w:rsidR="00651925" w:rsidRPr="00651925">
        <w:rPr>
          <w:rFonts w:hint="eastAsia"/>
          <w:szCs w:val="32"/>
        </w:rPr>
        <w:t>教師評審委員會設置辦法</w:t>
      </w:r>
    </w:p>
    <w:p w:rsidR="0076146B" w:rsidRDefault="0011200D" w:rsidP="0076146B">
      <w:pPr>
        <w:pStyle w:val="a7"/>
        <w:spacing w:before="100" w:beforeAutospacing="1" w:after="100" w:afterAutospacing="1" w:line="240" w:lineRule="auto"/>
        <w:ind w:left="0" w:firstLine="0"/>
        <w:jc w:val="center"/>
        <w:rPr>
          <w:szCs w:val="32"/>
        </w:rPr>
      </w:pPr>
      <w:r>
        <w:rPr>
          <w:rFonts w:hint="eastAsia"/>
          <w:szCs w:val="32"/>
        </w:rPr>
        <w:t>第</w:t>
      </w:r>
      <w:r w:rsidR="00651925">
        <w:rPr>
          <w:rFonts w:hint="eastAsia"/>
          <w:szCs w:val="32"/>
        </w:rPr>
        <w:t>八</w:t>
      </w:r>
      <w:proofErr w:type="gramStart"/>
      <w:r w:rsidR="00651925">
        <w:rPr>
          <w:rFonts w:hint="eastAsia"/>
          <w:szCs w:val="32"/>
        </w:rPr>
        <w:t>條</w:t>
      </w:r>
      <w:proofErr w:type="gramEnd"/>
      <w:r w:rsidR="00B73033">
        <w:rPr>
          <w:rFonts w:hint="eastAsia"/>
          <w:szCs w:val="32"/>
        </w:rPr>
        <w:t>條文</w:t>
      </w:r>
      <w:r w:rsidR="0076146B">
        <w:rPr>
          <w:rFonts w:hint="eastAsia"/>
          <w:szCs w:val="32"/>
        </w:rPr>
        <w:t>修正草案</w:t>
      </w:r>
      <w:r w:rsidR="00B62B27">
        <w:rPr>
          <w:rFonts w:hint="eastAsia"/>
          <w:szCs w:val="32"/>
        </w:rPr>
        <w:t>調查表</w:t>
      </w:r>
    </w:p>
    <w:p w:rsidR="00F51496" w:rsidRPr="00F51496" w:rsidRDefault="00F51496" w:rsidP="00F51496">
      <w:pPr>
        <w:rPr>
          <w:rFonts w:ascii="標楷體" w:eastAsia="標楷體" w:hAnsi="標楷體"/>
          <w:b/>
          <w:sz w:val="28"/>
          <w:szCs w:val="28"/>
        </w:rPr>
      </w:pPr>
      <w:r w:rsidRPr="00F51496">
        <w:rPr>
          <w:rFonts w:ascii="標楷體" w:eastAsia="標楷體" w:hAnsi="標楷體"/>
          <w:b/>
          <w:sz w:val="28"/>
          <w:szCs w:val="28"/>
        </w:rPr>
        <w:t>單位名稱：</w:t>
      </w:r>
    </w:p>
    <w:p w:rsidR="00F51496" w:rsidRPr="00F51496" w:rsidRDefault="00F51496" w:rsidP="00F51496">
      <w:r w:rsidRPr="00F51496">
        <w:rPr>
          <w:rFonts w:ascii="標楷體" w:eastAsia="標楷體" w:hAnsi="標楷體"/>
          <w:b/>
          <w:sz w:val="28"/>
          <w:szCs w:val="28"/>
        </w:rPr>
        <w:t>單位主管簽名或蓋章：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4106"/>
        <w:gridCol w:w="4111"/>
        <w:gridCol w:w="3402"/>
        <w:gridCol w:w="2977"/>
      </w:tblGrid>
      <w:tr w:rsidR="00F51496" w:rsidTr="00F51496">
        <w:trPr>
          <w:trHeight w:val="425"/>
        </w:trPr>
        <w:tc>
          <w:tcPr>
            <w:tcW w:w="4106" w:type="dxa"/>
            <w:vAlign w:val="center"/>
          </w:tcPr>
          <w:p w:rsidR="00F51496" w:rsidRPr="00FC57E3" w:rsidRDefault="00F51496" w:rsidP="00747A90">
            <w:pPr>
              <w:rPr>
                <w:rFonts w:ascii="標楷體" w:eastAsia="標楷體" w:hAnsi="標楷體"/>
              </w:rPr>
            </w:pPr>
            <w:r w:rsidRPr="007E1324">
              <w:rPr>
                <w:rFonts w:ascii="標楷體" w:eastAsia="標楷體" w:hAnsi="標楷體" w:hint="eastAsia"/>
                <w:color w:val="000000" w:themeColor="text1"/>
              </w:rPr>
              <w:t>修正條文</w:t>
            </w:r>
          </w:p>
        </w:tc>
        <w:tc>
          <w:tcPr>
            <w:tcW w:w="4111" w:type="dxa"/>
            <w:vAlign w:val="center"/>
          </w:tcPr>
          <w:p w:rsidR="00F51496" w:rsidRPr="00FC57E3" w:rsidRDefault="00F51496">
            <w:pPr>
              <w:rPr>
                <w:rFonts w:ascii="標楷體" w:eastAsia="標楷體" w:hAnsi="標楷體"/>
              </w:rPr>
            </w:pPr>
            <w:r w:rsidRPr="00FC57E3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402" w:type="dxa"/>
            <w:vAlign w:val="center"/>
          </w:tcPr>
          <w:p w:rsidR="00F51496" w:rsidRPr="00FC57E3" w:rsidRDefault="00F51496">
            <w:pPr>
              <w:rPr>
                <w:rFonts w:ascii="標楷體" w:eastAsia="標楷體" w:hAnsi="標楷體"/>
              </w:rPr>
            </w:pPr>
            <w:r w:rsidRPr="00FC57E3">
              <w:rPr>
                <w:rFonts w:ascii="標楷體" w:eastAsia="標楷體" w:hAnsi="標楷體" w:hint="eastAsia"/>
              </w:rPr>
              <w:t>修正說明</w:t>
            </w:r>
          </w:p>
        </w:tc>
        <w:tc>
          <w:tcPr>
            <w:tcW w:w="2977" w:type="dxa"/>
          </w:tcPr>
          <w:p w:rsidR="00F51496" w:rsidRPr="00FC57E3" w:rsidRDefault="007E1324">
            <w:pPr>
              <w:rPr>
                <w:rFonts w:ascii="標楷體" w:eastAsia="標楷體" w:hAnsi="標楷體"/>
              </w:rPr>
            </w:pPr>
            <w:r w:rsidRPr="00F51496">
              <w:rPr>
                <w:rFonts w:ascii="標楷體" w:eastAsia="標楷體" w:hAnsi="標楷體"/>
              </w:rPr>
              <w:t>修正意見</w:t>
            </w:r>
          </w:p>
        </w:tc>
      </w:tr>
      <w:tr w:rsidR="007F32F3" w:rsidTr="00F51496">
        <w:tc>
          <w:tcPr>
            <w:tcW w:w="4106" w:type="dxa"/>
          </w:tcPr>
          <w:p w:rsidR="007F32F3" w:rsidRPr="00747A90" w:rsidRDefault="007F32F3" w:rsidP="007F32F3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7A90">
              <w:rPr>
                <w:rFonts w:ascii="標楷體" w:eastAsia="標楷體" w:hAnsi="標楷體" w:hint="eastAsia"/>
                <w:color w:val="000000" w:themeColor="text1"/>
              </w:rPr>
              <w:t>第八條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本校教師之聘任、聘期、升等、停聘、解聘、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續聘、資遣原因認定及學術研究案之評審，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均依下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列規定辦理，但法律另有規定，從其規定：</w:t>
            </w:r>
          </w:p>
          <w:p w:rsidR="008F4D8E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一、由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系級教評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會初審及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院級教評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審後，再</w:t>
            </w:r>
            <w:r w:rsidRPr="00747A90">
              <w:rPr>
                <w:rFonts w:ascii="標楷體" w:eastAsia="標楷體" w:hAnsi="標楷體" w:hint="eastAsia"/>
                <w:color w:val="000000" w:themeColor="text1"/>
              </w:rPr>
              <w:t>經會辦人事及相關單位並陳請校長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核提校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教評會審議</w:t>
            </w:r>
            <w:r w:rsidRPr="007F32F3">
              <w:rPr>
                <w:rFonts w:ascii="標楷體" w:eastAsia="標楷體" w:hAnsi="標楷體" w:hint="eastAsia"/>
                <w:color w:val="FF0000"/>
                <w:u w:val="single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教師</w:t>
            </w:r>
            <w:r w:rsidRPr="007F32F3">
              <w:rPr>
                <w:rFonts w:ascii="標楷體" w:eastAsia="標楷體" w:hAnsi="標楷體" w:hint="eastAsia"/>
                <w:color w:val="FF0000"/>
                <w:u w:val="single"/>
              </w:rPr>
              <w:t>渉有教師法第</w:t>
            </w:r>
            <w:r w:rsidRPr="007F32F3">
              <w:rPr>
                <w:rFonts w:ascii="標楷體" w:eastAsia="標楷體" w:hAnsi="標楷體"/>
                <w:color w:val="FF0000"/>
                <w:u w:val="single"/>
              </w:rPr>
              <w:t>22</w:t>
            </w:r>
            <w:r w:rsidRPr="007F32F3">
              <w:rPr>
                <w:rFonts w:ascii="標楷體" w:eastAsia="標楷體" w:hAnsi="標楷體" w:hint="eastAsia"/>
                <w:color w:val="FF0000"/>
                <w:u w:val="single"/>
              </w:rPr>
              <w:t>條第</w:t>
            </w:r>
            <w:r w:rsidRPr="007F32F3">
              <w:rPr>
                <w:rFonts w:ascii="標楷體" w:eastAsia="標楷體" w:hAnsi="標楷體"/>
                <w:color w:val="FF0000"/>
                <w:u w:val="single"/>
              </w:rPr>
              <w:t>1</w:t>
            </w:r>
            <w:r w:rsidRPr="007F32F3">
              <w:rPr>
                <w:rFonts w:ascii="標楷體" w:eastAsia="標楷體" w:hAnsi="標楷體" w:hint="eastAsia"/>
                <w:color w:val="FF0000"/>
                <w:u w:val="single"/>
              </w:rPr>
              <w:t>項</w:t>
            </w:r>
            <w:r w:rsidR="008F4D8E" w:rsidRPr="008F4D8E">
              <w:rPr>
                <w:rFonts w:ascii="標楷體" w:eastAsia="標楷體" w:hAnsi="標楷體" w:hint="eastAsia"/>
                <w:color w:val="FF0000"/>
                <w:u w:val="single"/>
              </w:rPr>
              <w:t>情事者，得逕提校教評會審議辦理。</w:t>
            </w:r>
          </w:p>
          <w:p w:rsid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47A90">
              <w:rPr>
                <w:rFonts w:ascii="標楷體" w:eastAsia="標楷體" w:hAnsi="標楷體" w:hint="eastAsia"/>
                <w:color w:val="000000" w:themeColor="text1"/>
              </w:rPr>
              <w:t>二、教師停聘、解聘或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續聘案及其他重大事項如事證明確，而低一級教師評審委員會所作之決議與法律規定顯然不合時，高一級教師評審委員會會得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依規定審議變更之，並以</w:t>
            </w:r>
            <w:r w:rsidRPr="00747A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校教評會決定為最終確定決議。</w:t>
            </w:r>
          </w:p>
          <w:p w:rsid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47A90">
              <w:rPr>
                <w:rFonts w:ascii="標楷體" w:eastAsia="標楷體" w:hAnsi="標楷體" w:hint="eastAsia"/>
                <w:color w:val="000000" w:themeColor="text1"/>
              </w:rPr>
              <w:t>三、教師資格之審查，應建立嚴謹審查制度，並尊重專業判斷，不得以投票表決方式變更專業審查結果或有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低階高審等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情事。</w:t>
            </w:r>
          </w:p>
          <w:p w:rsid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47A90">
              <w:rPr>
                <w:rFonts w:ascii="標楷體" w:eastAsia="標楷體" w:hAnsi="標楷體" w:hint="eastAsia"/>
                <w:color w:val="000000" w:themeColor="text1"/>
              </w:rPr>
              <w:t>四、為避免升等資格審查案件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低階高審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各級教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評會已具各該聘任法令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送審職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級以上委員人數未達三分之二者，應另組與原教評會最低組成人數相同之升等審查專案委員會，授權辦理升等事宜；原教評會未具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送審職級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以上資格委員人數，由原教評會推薦已具各該聘任法令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送審職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級以上之校內外相關領域學者專家補足，並陳請校長聘任之。至專業技術人員之聘任及升等案件，遇組成人數不足時，亦得邀集校內外相關領域教授或學者專家共同審查之。</w:t>
            </w:r>
          </w:p>
          <w:p w:rsidR="007F32F3" w:rsidRPr="00747A90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47A90">
              <w:rPr>
                <w:rFonts w:ascii="標楷體" w:eastAsia="標楷體" w:hAnsi="標楷體" w:hint="eastAsia"/>
                <w:color w:val="000000" w:themeColor="text1"/>
              </w:rPr>
              <w:t>五、教師對校教評會升等評審未獲通過，如有不服者，得於接獲通知之次日起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十日內，繕</w:t>
            </w:r>
            <w:r w:rsidRPr="00747A9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具申訴書，向本校教師申訴評議委員會提起申訴，如不服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本校申評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會之決定，得於評議書到達之次日起三十日內繕具申訴書，向教育部</w:t>
            </w:r>
            <w:proofErr w:type="gramStart"/>
            <w:r w:rsidRPr="00747A90">
              <w:rPr>
                <w:rFonts w:ascii="標楷體" w:eastAsia="標楷體" w:hAnsi="標楷體" w:hint="eastAsia"/>
                <w:color w:val="000000" w:themeColor="text1"/>
              </w:rPr>
              <w:t>之申</w:t>
            </w:r>
            <w:proofErr w:type="gramEnd"/>
            <w:r w:rsidRPr="00747A90">
              <w:rPr>
                <w:rFonts w:ascii="標楷體" w:eastAsia="標楷體" w:hAnsi="標楷體" w:hint="eastAsia"/>
                <w:color w:val="000000" w:themeColor="text1"/>
              </w:rPr>
              <w:t>評會提起再申訴。</w:t>
            </w:r>
          </w:p>
          <w:p w:rsidR="007F32F3" w:rsidRPr="00747A90" w:rsidRDefault="007F32F3" w:rsidP="007F32F3">
            <w:pPr>
              <w:spacing w:beforeLines="30" w:before="108"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:rsidR="007F32F3" w:rsidRPr="007F32F3" w:rsidRDefault="007F32F3" w:rsidP="007F32F3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第八條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本校教師之聘任、聘期、升等、停聘、解聘、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續聘、資遣原因認定及學術研究案之評審，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均依下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列規定辦理，但法律另有規定，從其規定：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一、由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系級教評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會初審及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院級教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評會複審後，再經會辦人事及相關單位並陳請校長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核提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校教評會審議。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二、教師停聘、解聘或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續聘案及其他重大事項如事證明確，而低一級教師評審委員會所作之決議與法律規定顯然不合時，高一級教師評審委員會會得逕依規定審議變更之，並以校教評會決定為最終確定決議。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三、教師資格之審查，應建立嚴謹審查制度，並尊重專業判斷，不得以投票表決方式變更專業審查結果或有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低階高審等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情事。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四、為避免升等資格審查案件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低階高審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各級教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評會已具各該聘任法令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送審職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級以上委員人數未達三分之二者，應另組與原教評會最低組成人數相同之升等審查專案委員會，授權辦理升等事宜；原教評會未具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送審職級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以上資格委員人數，由原教評會推薦已具各該聘任法令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送審職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級以上之校內外相關領域學者專家補足，並陳請校長聘任之。至專業技術人員之聘任及升等案件，遇組成人數不足時，亦得邀集校內外相關領域教授或學者專家共同審查之。</w:t>
            </w:r>
          </w:p>
          <w:p w:rsidR="007F32F3" w:rsidRPr="007F32F3" w:rsidRDefault="007F32F3" w:rsidP="007F32F3">
            <w:pPr>
              <w:autoSpaceDE w:val="0"/>
              <w:autoSpaceDN w:val="0"/>
              <w:adjustRightInd w:val="0"/>
              <w:ind w:leftChars="135" w:left="746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7F32F3">
              <w:rPr>
                <w:rFonts w:ascii="標楷體" w:eastAsia="標楷體" w:hAnsi="標楷體" w:hint="eastAsia"/>
                <w:color w:val="000000" w:themeColor="text1"/>
              </w:rPr>
              <w:t>五、教師對校教評會升等評審未獲通過，如有不服者，得於接獲通知之次日起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十日內，繕具申訴書，向本校教師申訴評議委員會提起申訴，如不服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7F32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校申評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會之決定，得於評議書到達之次日起三十日內繕具申訴書，向教育部</w:t>
            </w:r>
            <w:proofErr w:type="gramStart"/>
            <w:r w:rsidRPr="007F32F3">
              <w:rPr>
                <w:rFonts w:ascii="標楷體" w:eastAsia="標楷體" w:hAnsi="標楷體" w:hint="eastAsia"/>
                <w:color w:val="000000" w:themeColor="text1"/>
              </w:rPr>
              <w:t>之申</w:t>
            </w:r>
            <w:proofErr w:type="gramEnd"/>
            <w:r w:rsidRPr="007F32F3">
              <w:rPr>
                <w:rFonts w:ascii="標楷體" w:eastAsia="標楷體" w:hAnsi="標楷體" w:hint="eastAsia"/>
                <w:color w:val="000000" w:themeColor="text1"/>
              </w:rPr>
              <w:t>評會提起再申訴。</w:t>
            </w:r>
          </w:p>
          <w:p w:rsidR="007F32F3" w:rsidRPr="007F32F3" w:rsidRDefault="007F32F3" w:rsidP="007F32F3">
            <w:pPr>
              <w:spacing w:beforeLines="30" w:before="108"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7F32F3" w:rsidRPr="003D42F4" w:rsidRDefault="007F32F3" w:rsidP="003D42F4">
            <w:pPr>
              <w:pStyle w:val="ac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3D42F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依本校110年3月4日109-2學期性平會常會決議及性平會承辦人110年3月12日電子郵件通知「請</w:t>
            </w:r>
            <w:proofErr w:type="gramStart"/>
            <w:r w:rsidRPr="003D42F4">
              <w:rPr>
                <w:rFonts w:ascii="標楷體" w:eastAsia="標楷體" w:hAnsi="標楷體" w:hint="eastAsia"/>
                <w:color w:val="000000" w:themeColor="text1"/>
              </w:rPr>
              <w:t>人事室就性平</w:t>
            </w:r>
            <w:proofErr w:type="gramEnd"/>
            <w:r w:rsidRPr="003D42F4">
              <w:rPr>
                <w:rFonts w:ascii="標楷體" w:eastAsia="標楷體" w:hAnsi="標楷體" w:hint="eastAsia"/>
                <w:color w:val="000000" w:themeColor="text1"/>
              </w:rPr>
              <w:t>會決議之相關資料與建議修正提案(另email)，提請本校校教評審議。」</w:t>
            </w:r>
          </w:p>
          <w:p w:rsidR="007F32F3" w:rsidRDefault="003D42F4" w:rsidP="003D42F4">
            <w:pPr>
              <w:pStyle w:val="ac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查</w:t>
            </w:r>
            <w:r w:rsidR="007F32F3" w:rsidRPr="003D42F4">
              <w:rPr>
                <w:rFonts w:ascii="標楷體" w:eastAsia="標楷體" w:hAnsi="標楷體" w:hint="eastAsia"/>
                <w:color w:val="000000" w:themeColor="text1"/>
              </w:rPr>
              <w:t>性平</w:t>
            </w:r>
            <w:proofErr w:type="gramEnd"/>
            <w:r w:rsidR="007F32F3" w:rsidRPr="003D42F4">
              <w:rPr>
                <w:rFonts w:ascii="標楷體" w:eastAsia="標楷體" w:hAnsi="標楷體" w:hint="eastAsia"/>
                <w:color w:val="000000" w:themeColor="text1"/>
              </w:rPr>
              <w:t>會建議，</w:t>
            </w:r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審酌基於遇</w:t>
            </w:r>
            <w:proofErr w:type="gramStart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有類案以</w:t>
            </w:r>
            <w:proofErr w:type="gramEnd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爭取時效與提昇議事效率之「從速原則」與減少所系(學程)科、院教評會行政及責任負擔之「</w:t>
            </w:r>
            <w:proofErr w:type="gramStart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減責原則</w:t>
            </w:r>
            <w:proofErr w:type="gramEnd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」，建議類此涉及教師法第22條之性平</w:t>
            </w:r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案件知悉後，得</w:t>
            </w:r>
            <w:proofErr w:type="gramStart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逕提校級教</w:t>
            </w:r>
            <w:proofErr w:type="gramEnd"/>
            <w:r w:rsidR="007F32F3" w:rsidRPr="007F32F3">
              <w:rPr>
                <w:rFonts w:ascii="標楷體" w:eastAsia="標楷體" w:hAnsi="標楷體" w:hint="eastAsia"/>
                <w:color w:val="000000" w:themeColor="text1"/>
              </w:rPr>
              <w:t>評會審議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D42F4" w:rsidRPr="001D33CD" w:rsidRDefault="003D42F4" w:rsidP="003D42F4">
            <w:pPr>
              <w:pStyle w:val="ac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本案經本校</w:t>
            </w:r>
            <w:r w:rsidRPr="003D42F4">
              <w:rPr>
                <w:rFonts w:ascii="標楷體" w:eastAsia="標楷體" w:hAnsi="標楷體" w:hint="eastAsia"/>
                <w:color w:val="000000" w:themeColor="text1"/>
              </w:rPr>
              <w:t>110年4月13日109學年度第7次教師評審委員會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決議略以「</w:t>
            </w:r>
            <w:bookmarkStart w:id="0" w:name="_GoBack"/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r w:rsidRPr="003D42F4">
              <w:rPr>
                <w:rFonts w:ascii="標楷體" w:eastAsia="標楷體" w:hAnsi="標楷體" w:hint="eastAsia"/>
                <w:color w:val="000000" w:themeColor="text1"/>
              </w:rPr>
              <w:t>得參據</w:t>
            </w:r>
            <w:proofErr w:type="gramEnd"/>
            <w:r w:rsidRPr="003D42F4">
              <w:rPr>
                <w:rFonts w:ascii="標楷體" w:eastAsia="標楷體" w:hAnsi="標楷體" w:hint="eastAsia"/>
                <w:color w:val="000000" w:themeColor="text1"/>
              </w:rPr>
              <w:t>性平會建議，</w:t>
            </w:r>
            <w:proofErr w:type="gramStart"/>
            <w:r w:rsidRPr="003D42F4">
              <w:rPr>
                <w:rFonts w:ascii="標楷體" w:eastAsia="標楷體" w:hAnsi="標楷體" w:hint="eastAsia"/>
                <w:color w:val="000000" w:themeColor="text1"/>
              </w:rPr>
              <w:t>增列校</w:t>
            </w:r>
            <w:proofErr w:type="gramEnd"/>
            <w:r w:rsidRPr="003D42F4">
              <w:rPr>
                <w:rFonts w:ascii="標楷體" w:eastAsia="標楷體" w:hAnsi="標楷體" w:hint="eastAsia"/>
                <w:color w:val="000000" w:themeColor="text1"/>
              </w:rPr>
              <w:t>教評會於知悉教師渉有教師法第</w:t>
            </w:r>
            <w:r w:rsidRPr="003D42F4">
              <w:rPr>
                <w:rFonts w:ascii="標楷體" w:eastAsia="標楷體" w:hAnsi="標楷體"/>
                <w:color w:val="000000" w:themeColor="text1"/>
              </w:rPr>
              <w:t>22</w:t>
            </w:r>
            <w:r w:rsidRPr="003D42F4">
              <w:rPr>
                <w:rFonts w:ascii="標楷體" w:eastAsia="標楷體" w:hAnsi="標楷體" w:hint="eastAsia"/>
                <w:color w:val="000000" w:themeColor="text1"/>
              </w:rPr>
              <w:t>條第</w:t>
            </w:r>
            <w:r w:rsidRPr="003D42F4">
              <w:rPr>
                <w:rFonts w:ascii="標楷體" w:eastAsia="標楷體" w:hAnsi="標楷體"/>
                <w:color w:val="000000" w:themeColor="text1"/>
              </w:rPr>
              <w:t>1</w:t>
            </w:r>
            <w:r w:rsidRPr="003D42F4">
              <w:rPr>
                <w:rFonts w:ascii="標楷體" w:eastAsia="標楷體" w:hAnsi="標楷體" w:hint="eastAsia"/>
                <w:color w:val="000000" w:themeColor="text1"/>
              </w:rPr>
              <w:t>項情形者，得不經系級、院級教評會審議，逕提校教評會審議辦理</w:t>
            </w:r>
            <w:r>
              <w:rPr>
                <w:rFonts w:ascii="標楷體" w:eastAsia="標楷體" w:hAnsi="標楷體"/>
                <w:color w:val="000000" w:themeColor="text1"/>
              </w:rPr>
              <w:t>……</w:t>
            </w:r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」故配合修正</w:t>
            </w:r>
            <w:r w:rsidRPr="003D42F4">
              <w:rPr>
                <w:rFonts w:ascii="標楷體" w:eastAsia="標楷體" w:hAnsi="標楷體" w:hint="eastAsia"/>
                <w:color w:val="000000" w:themeColor="text1"/>
              </w:rPr>
              <w:t>本校教師評審委員會設置辦法第8條規定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</w:tcPr>
          <w:p w:rsidR="007F32F3" w:rsidRPr="001D33CD" w:rsidRDefault="007F32F3" w:rsidP="007F32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A7528" w:rsidRPr="004D08E0" w:rsidRDefault="00FA7528" w:rsidP="00013253"/>
    <w:p w:rsidR="00FA7528" w:rsidRDefault="00FA7528">
      <w:pPr>
        <w:widowControl/>
      </w:pPr>
    </w:p>
    <w:sectPr w:rsidR="00FA7528" w:rsidSect="007E1324">
      <w:footerReference w:type="default" r:id="rId8"/>
      <w:pgSz w:w="16838" w:h="11906" w:orient="landscape"/>
      <w:pgMar w:top="1418" w:right="1440" w:bottom="991" w:left="851" w:header="851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03" w:rsidRDefault="00A54D03" w:rsidP="0076146B">
      <w:r>
        <w:separator/>
      </w:r>
    </w:p>
  </w:endnote>
  <w:endnote w:type="continuationSeparator" w:id="0">
    <w:p w:rsidR="00A54D03" w:rsidRDefault="00A54D03" w:rsidP="007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708267"/>
      <w:docPartObj>
        <w:docPartGallery w:val="Page Numbers (Bottom of Page)"/>
        <w:docPartUnique/>
      </w:docPartObj>
    </w:sdtPr>
    <w:sdtEndPr/>
    <w:sdtContent>
      <w:p w:rsidR="007E1324" w:rsidRDefault="007E1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60" w:rsidRPr="00E37060">
          <w:rPr>
            <w:noProof/>
            <w:lang w:val="zh-TW"/>
          </w:rPr>
          <w:t>4</w:t>
        </w:r>
        <w:r>
          <w:fldChar w:fldCharType="end"/>
        </w:r>
      </w:p>
    </w:sdtContent>
  </w:sdt>
  <w:p w:rsidR="007E1324" w:rsidRDefault="007E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03" w:rsidRDefault="00A54D03" w:rsidP="0076146B">
      <w:r>
        <w:separator/>
      </w:r>
    </w:p>
  </w:footnote>
  <w:footnote w:type="continuationSeparator" w:id="0">
    <w:p w:rsidR="00A54D03" w:rsidRDefault="00A54D03" w:rsidP="0076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786"/>
    <w:multiLevelType w:val="hybridMultilevel"/>
    <w:tmpl w:val="05585D48"/>
    <w:lvl w:ilvl="0" w:tplc="2F3C9B56">
      <w:start w:val="1"/>
      <w:numFmt w:val="taiwaneseCountingThousand"/>
      <w:lvlText w:val="%1、"/>
      <w:lvlJc w:val="left"/>
      <w:pPr>
        <w:ind w:left="132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C0C520B"/>
    <w:multiLevelType w:val="hybridMultilevel"/>
    <w:tmpl w:val="99D89384"/>
    <w:lvl w:ilvl="0" w:tplc="DAB28284">
      <w:start w:val="1"/>
      <w:numFmt w:val="taiwaneseCountingThousand"/>
      <w:lvlText w:val="%1、"/>
      <w:lvlJc w:val="left"/>
      <w:pPr>
        <w:ind w:left="425" w:hanging="48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2" w15:restartNumberingAfterBreak="0">
    <w:nsid w:val="0CC17539"/>
    <w:multiLevelType w:val="hybridMultilevel"/>
    <w:tmpl w:val="A95016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87A07"/>
    <w:multiLevelType w:val="hybridMultilevel"/>
    <w:tmpl w:val="993617F8"/>
    <w:lvl w:ilvl="0" w:tplc="D18695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D1016"/>
    <w:multiLevelType w:val="hybridMultilevel"/>
    <w:tmpl w:val="B83EA372"/>
    <w:lvl w:ilvl="0" w:tplc="57A0F1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61485"/>
    <w:multiLevelType w:val="hybridMultilevel"/>
    <w:tmpl w:val="D31EAE5C"/>
    <w:lvl w:ilvl="0" w:tplc="1C52DD3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FD13D2"/>
    <w:multiLevelType w:val="hybridMultilevel"/>
    <w:tmpl w:val="296436FA"/>
    <w:lvl w:ilvl="0" w:tplc="1C52DD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A150C"/>
    <w:multiLevelType w:val="hybridMultilevel"/>
    <w:tmpl w:val="57E200C8"/>
    <w:lvl w:ilvl="0" w:tplc="D0C6E4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9D4CE0"/>
    <w:multiLevelType w:val="hybridMultilevel"/>
    <w:tmpl w:val="C4523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C5BA0"/>
    <w:multiLevelType w:val="hybridMultilevel"/>
    <w:tmpl w:val="A394F2B6"/>
    <w:lvl w:ilvl="0" w:tplc="06DED184">
      <w:start w:val="1"/>
      <w:numFmt w:val="taiwaneseCountingThousand"/>
      <w:lvlText w:val="%1、"/>
      <w:lvlJc w:val="left"/>
      <w:pPr>
        <w:ind w:left="720" w:hanging="720"/>
      </w:pPr>
    </w:lvl>
    <w:lvl w:ilvl="1" w:tplc="7CCE5202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145994"/>
    <w:multiLevelType w:val="hybridMultilevel"/>
    <w:tmpl w:val="7D942B9C"/>
    <w:lvl w:ilvl="0" w:tplc="218C51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AF1D98"/>
    <w:multiLevelType w:val="hybridMultilevel"/>
    <w:tmpl w:val="ECB8E48A"/>
    <w:lvl w:ilvl="0" w:tplc="57A0F1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984383"/>
    <w:multiLevelType w:val="hybridMultilevel"/>
    <w:tmpl w:val="C83E9DB4"/>
    <w:lvl w:ilvl="0" w:tplc="11D0C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BB"/>
    <w:rsid w:val="00012E65"/>
    <w:rsid w:val="00013253"/>
    <w:rsid w:val="0002614F"/>
    <w:rsid w:val="000261B1"/>
    <w:rsid w:val="0003301C"/>
    <w:rsid w:val="0005034F"/>
    <w:rsid w:val="000519DB"/>
    <w:rsid w:val="000728CB"/>
    <w:rsid w:val="00091326"/>
    <w:rsid w:val="000933CB"/>
    <w:rsid w:val="00093468"/>
    <w:rsid w:val="000E33A0"/>
    <w:rsid w:val="000F4E66"/>
    <w:rsid w:val="000F6A11"/>
    <w:rsid w:val="001059E1"/>
    <w:rsid w:val="00106EAB"/>
    <w:rsid w:val="0011200D"/>
    <w:rsid w:val="00121AFF"/>
    <w:rsid w:val="00153CEB"/>
    <w:rsid w:val="001556FA"/>
    <w:rsid w:val="00163FBE"/>
    <w:rsid w:val="001867EB"/>
    <w:rsid w:val="0019455A"/>
    <w:rsid w:val="001D33CD"/>
    <w:rsid w:val="001E2E2A"/>
    <w:rsid w:val="001E6CDD"/>
    <w:rsid w:val="0020731B"/>
    <w:rsid w:val="00231F27"/>
    <w:rsid w:val="0024584F"/>
    <w:rsid w:val="002558AF"/>
    <w:rsid w:val="00264401"/>
    <w:rsid w:val="0027475E"/>
    <w:rsid w:val="0027769E"/>
    <w:rsid w:val="00285ABB"/>
    <w:rsid w:val="002A0515"/>
    <w:rsid w:val="002C44D6"/>
    <w:rsid w:val="002D38FE"/>
    <w:rsid w:val="002E2801"/>
    <w:rsid w:val="003125AB"/>
    <w:rsid w:val="00312AF7"/>
    <w:rsid w:val="003208A7"/>
    <w:rsid w:val="00332802"/>
    <w:rsid w:val="0034091B"/>
    <w:rsid w:val="003644B6"/>
    <w:rsid w:val="00370BE2"/>
    <w:rsid w:val="00396DB6"/>
    <w:rsid w:val="003B3C07"/>
    <w:rsid w:val="003D42F4"/>
    <w:rsid w:val="003E2E54"/>
    <w:rsid w:val="003E762C"/>
    <w:rsid w:val="00411ABD"/>
    <w:rsid w:val="00412C7A"/>
    <w:rsid w:val="0041355C"/>
    <w:rsid w:val="00465024"/>
    <w:rsid w:val="004925CA"/>
    <w:rsid w:val="00495274"/>
    <w:rsid w:val="004A6D9F"/>
    <w:rsid w:val="004B33B9"/>
    <w:rsid w:val="004B6F41"/>
    <w:rsid w:val="004D08E0"/>
    <w:rsid w:val="00530F95"/>
    <w:rsid w:val="005371A1"/>
    <w:rsid w:val="00540601"/>
    <w:rsid w:val="00547B28"/>
    <w:rsid w:val="005541AF"/>
    <w:rsid w:val="00581068"/>
    <w:rsid w:val="005827B3"/>
    <w:rsid w:val="00591887"/>
    <w:rsid w:val="005A225F"/>
    <w:rsid w:val="005A5FCD"/>
    <w:rsid w:val="005C20CF"/>
    <w:rsid w:val="005D460F"/>
    <w:rsid w:val="00647BF5"/>
    <w:rsid w:val="00650198"/>
    <w:rsid w:val="00651925"/>
    <w:rsid w:val="006570CC"/>
    <w:rsid w:val="006575C7"/>
    <w:rsid w:val="0066035E"/>
    <w:rsid w:val="00666678"/>
    <w:rsid w:val="00670A71"/>
    <w:rsid w:val="00684B02"/>
    <w:rsid w:val="00694DB6"/>
    <w:rsid w:val="0069526A"/>
    <w:rsid w:val="006B09A5"/>
    <w:rsid w:val="006E4C09"/>
    <w:rsid w:val="006E7D7F"/>
    <w:rsid w:val="006F10E1"/>
    <w:rsid w:val="00707C38"/>
    <w:rsid w:val="007346D5"/>
    <w:rsid w:val="00735BF7"/>
    <w:rsid w:val="00747A90"/>
    <w:rsid w:val="007502F2"/>
    <w:rsid w:val="0076146B"/>
    <w:rsid w:val="00764E47"/>
    <w:rsid w:val="00765E7D"/>
    <w:rsid w:val="00767FBA"/>
    <w:rsid w:val="00774236"/>
    <w:rsid w:val="00775AB4"/>
    <w:rsid w:val="007E1324"/>
    <w:rsid w:val="007F214C"/>
    <w:rsid w:val="007F32F3"/>
    <w:rsid w:val="0082649D"/>
    <w:rsid w:val="00834F4C"/>
    <w:rsid w:val="00842DCE"/>
    <w:rsid w:val="0084366F"/>
    <w:rsid w:val="00884CB7"/>
    <w:rsid w:val="00887165"/>
    <w:rsid w:val="0089092F"/>
    <w:rsid w:val="008A789B"/>
    <w:rsid w:val="008B7ED9"/>
    <w:rsid w:val="008F4D8E"/>
    <w:rsid w:val="009011D6"/>
    <w:rsid w:val="00904D44"/>
    <w:rsid w:val="0091144B"/>
    <w:rsid w:val="00915FAD"/>
    <w:rsid w:val="00920E53"/>
    <w:rsid w:val="00922BC7"/>
    <w:rsid w:val="00985651"/>
    <w:rsid w:val="009C024F"/>
    <w:rsid w:val="009C0B59"/>
    <w:rsid w:val="00A1004D"/>
    <w:rsid w:val="00A2665B"/>
    <w:rsid w:val="00A30331"/>
    <w:rsid w:val="00A312B3"/>
    <w:rsid w:val="00A31AD3"/>
    <w:rsid w:val="00A53445"/>
    <w:rsid w:val="00A54A1A"/>
    <w:rsid w:val="00A54D03"/>
    <w:rsid w:val="00A80609"/>
    <w:rsid w:val="00A91377"/>
    <w:rsid w:val="00AC6E03"/>
    <w:rsid w:val="00AD7C54"/>
    <w:rsid w:val="00B37204"/>
    <w:rsid w:val="00B41F0A"/>
    <w:rsid w:val="00B45746"/>
    <w:rsid w:val="00B50871"/>
    <w:rsid w:val="00B62B27"/>
    <w:rsid w:val="00B7212C"/>
    <w:rsid w:val="00B73033"/>
    <w:rsid w:val="00B870B7"/>
    <w:rsid w:val="00BB23D3"/>
    <w:rsid w:val="00BC2A20"/>
    <w:rsid w:val="00BC3551"/>
    <w:rsid w:val="00BC44AC"/>
    <w:rsid w:val="00C0247B"/>
    <w:rsid w:val="00C02885"/>
    <w:rsid w:val="00C225B2"/>
    <w:rsid w:val="00C30BE2"/>
    <w:rsid w:val="00C33267"/>
    <w:rsid w:val="00C453C0"/>
    <w:rsid w:val="00C612A4"/>
    <w:rsid w:val="00C65A3C"/>
    <w:rsid w:val="00C6681C"/>
    <w:rsid w:val="00C73C77"/>
    <w:rsid w:val="00C82638"/>
    <w:rsid w:val="00C86AE4"/>
    <w:rsid w:val="00CA6E04"/>
    <w:rsid w:val="00CB5DB6"/>
    <w:rsid w:val="00CD2EDF"/>
    <w:rsid w:val="00CF1928"/>
    <w:rsid w:val="00CF5FF6"/>
    <w:rsid w:val="00D03A42"/>
    <w:rsid w:val="00D05B32"/>
    <w:rsid w:val="00D2524C"/>
    <w:rsid w:val="00D27348"/>
    <w:rsid w:val="00D33616"/>
    <w:rsid w:val="00D36B44"/>
    <w:rsid w:val="00D765A5"/>
    <w:rsid w:val="00D848BE"/>
    <w:rsid w:val="00D86DE0"/>
    <w:rsid w:val="00DC3248"/>
    <w:rsid w:val="00DE1A71"/>
    <w:rsid w:val="00DE571D"/>
    <w:rsid w:val="00DF0889"/>
    <w:rsid w:val="00DF643B"/>
    <w:rsid w:val="00E07D0A"/>
    <w:rsid w:val="00E25D9F"/>
    <w:rsid w:val="00E33076"/>
    <w:rsid w:val="00E37060"/>
    <w:rsid w:val="00E4465A"/>
    <w:rsid w:val="00E44AB1"/>
    <w:rsid w:val="00E65E41"/>
    <w:rsid w:val="00E76B76"/>
    <w:rsid w:val="00E934D3"/>
    <w:rsid w:val="00EE3553"/>
    <w:rsid w:val="00EE6F4E"/>
    <w:rsid w:val="00EF0921"/>
    <w:rsid w:val="00EF1E85"/>
    <w:rsid w:val="00EF5A4E"/>
    <w:rsid w:val="00F1140B"/>
    <w:rsid w:val="00F51496"/>
    <w:rsid w:val="00F64C18"/>
    <w:rsid w:val="00F7081C"/>
    <w:rsid w:val="00F73EE5"/>
    <w:rsid w:val="00FA6B8A"/>
    <w:rsid w:val="00FA7528"/>
    <w:rsid w:val="00FC57E3"/>
    <w:rsid w:val="00FD4CF3"/>
    <w:rsid w:val="00FE7F78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28B0"/>
  <w15:docId w15:val="{11A2494D-8F10-459B-968E-795B645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4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46B"/>
    <w:rPr>
      <w:sz w:val="20"/>
      <w:szCs w:val="20"/>
    </w:rPr>
  </w:style>
  <w:style w:type="paragraph" w:customStyle="1" w:styleId="a7">
    <w:name w:val="公文(段落)"/>
    <w:basedOn w:val="a"/>
    <w:next w:val="a"/>
    <w:rsid w:val="0076146B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8">
    <w:name w:val="Table Grid"/>
    <w:basedOn w:val="a1"/>
    <w:uiPriority w:val="39"/>
    <w:rsid w:val="00FC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公文(後續段落)"/>
    <w:basedOn w:val="a"/>
    <w:rsid w:val="00DF643B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ody Text"/>
    <w:basedOn w:val="a"/>
    <w:link w:val="ab"/>
    <w:rsid w:val="00DF643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DF643B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19455A"/>
    <w:pPr>
      <w:ind w:left="480"/>
    </w:pPr>
  </w:style>
  <w:style w:type="paragraph" w:styleId="HTML">
    <w:name w:val="HTML Preformatted"/>
    <w:basedOn w:val="a"/>
    <w:link w:val="HTML0"/>
    <w:uiPriority w:val="99"/>
    <w:unhideWhenUsed/>
    <w:rsid w:val="00EE6F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E6F4E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2A051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A0515"/>
  </w:style>
  <w:style w:type="paragraph" w:styleId="3">
    <w:name w:val="Body Text Indent 3"/>
    <w:basedOn w:val="a"/>
    <w:link w:val="30"/>
    <w:uiPriority w:val="99"/>
    <w:semiHidden/>
    <w:unhideWhenUsed/>
    <w:rsid w:val="00904D44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04D44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E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33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0288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94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8C85-BF18-4ECE-97B5-58FDA7C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人事室李采蔆</dc:creator>
  <cp:lastModifiedBy>nkuht</cp:lastModifiedBy>
  <cp:revision>3</cp:revision>
  <cp:lastPrinted>2020-10-05T06:52:00Z</cp:lastPrinted>
  <dcterms:created xsi:type="dcterms:W3CDTF">2021-04-14T08:03:00Z</dcterms:created>
  <dcterms:modified xsi:type="dcterms:W3CDTF">2021-04-21T23:58:00Z</dcterms:modified>
</cp:coreProperties>
</file>